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CABE" w14:textId="77777777" w:rsidR="000564B2" w:rsidRDefault="000564B2" w:rsidP="000564B2">
      <w:pPr>
        <w:pStyle w:val="Default"/>
        <w:ind w:left="-709"/>
        <w:jc w:val="center"/>
        <w:rPr>
          <w:b/>
          <w:bCs/>
          <w:sz w:val="28"/>
          <w:szCs w:val="28"/>
        </w:rPr>
      </w:pPr>
      <w:r>
        <w:rPr>
          <w:b/>
          <w:bCs/>
          <w:sz w:val="32"/>
          <w:szCs w:val="32"/>
        </w:rPr>
        <w:t xml:space="preserve">CONTRATS DE TERRITOIRE </w:t>
      </w:r>
      <w:r>
        <w:rPr>
          <w:b/>
          <w:bCs/>
          <w:sz w:val="28"/>
          <w:szCs w:val="28"/>
        </w:rPr>
        <w:t xml:space="preserve">(VOLET </w:t>
      </w:r>
      <w:r w:rsidR="00D7662C">
        <w:rPr>
          <w:b/>
          <w:bCs/>
          <w:sz w:val="28"/>
          <w:szCs w:val="28"/>
        </w:rPr>
        <w:t>h</w:t>
      </w:r>
      <w:r>
        <w:rPr>
          <w:b/>
          <w:bCs/>
          <w:sz w:val="28"/>
          <w:szCs w:val="28"/>
        </w:rPr>
        <w:t>abitat)</w:t>
      </w:r>
    </w:p>
    <w:p w14:paraId="009CC161" w14:textId="12D73421" w:rsidR="00C74149" w:rsidRDefault="00642EFD" w:rsidP="000564B2">
      <w:pPr>
        <w:pStyle w:val="Default"/>
        <w:ind w:left="-709"/>
        <w:jc w:val="center"/>
        <w:rPr>
          <w:b/>
          <w:bCs/>
          <w:sz w:val="32"/>
          <w:szCs w:val="32"/>
        </w:rPr>
      </w:pPr>
      <w:r>
        <w:rPr>
          <w:b/>
          <w:bCs/>
          <w:sz w:val="32"/>
          <w:szCs w:val="32"/>
        </w:rPr>
        <w:t>R</w:t>
      </w:r>
      <w:r w:rsidR="00C74149">
        <w:rPr>
          <w:b/>
          <w:bCs/>
          <w:sz w:val="32"/>
          <w:szCs w:val="32"/>
        </w:rPr>
        <w:t>èglement</w:t>
      </w:r>
      <w:r>
        <w:rPr>
          <w:b/>
          <w:bCs/>
          <w:sz w:val="32"/>
          <w:szCs w:val="32"/>
        </w:rPr>
        <w:t xml:space="preserve"> synthétique</w:t>
      </w:r>
    </w:p>
    <w:p w14:paraId="18B35E5D" w14:textId="77777777" w:rsidR="00C74149" w:rsidRDefault="00C74149" w:rsidP="000564B2">
      <w:pPr>
        <w:pStyle w:val="Default"/>
        <w:ind w:left="-709"/>
        <w:jc w:val="center"/>
        <w:rPr>
          <w:sz w:val="28"/>
          <w:szCs w:val="28"/>
        </w:rPr>
      </w:pPr>
      <w:r>
        <w:rPr>
          <w:b/>
          <w:bCs/>
          <w:sz w:val="32"/>
          <w:szCs w:val="32"/>
        </w:rPr>
        <w:t xml:space="preserve"> </w:t>
      </w:r>
    </w:p>
    <w:p w14:paraId="3437CB23" w14:textId="77777777" w:rsidR="000564B2" w:rsidRDefault="000564B2" w:rsidP="000564B2">
      <w:pPr>
        <w:pStyle w:val="Default"/>
        <w:rPr>
          <w:rFonts w:cstheme="minorBidi"/>
          <w:color w:val="auto"/>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8119"/>
      </w:tblGrid>
      <w:tr w:rsidR="000564B2" w:rsidRPr="0040460F" w14:paraId="2E9CC42B" w14:textId="77777777" w:rsidTr="00745527">
        <w:trPr>
          <w:trHeight w:val="374"/>
        </w:trPr>
        <w:tc>
          <w:tcPr>
            <w:tcW w:w="2371" w:type="dxa"/>
          </w:tcPr>
          <w:p w14:paraId="5B78C947" w14:textId="647F7411" w:rsidR="000564B2" w:rsidRPr="0040460F" w:rsidRDefault="008A4A69" w:rsidP="00745527">
            <w:pPr>
              <w:pStyle w:val="Default"/>
              <w:spacing w:before="120"/>
              <w:ind w:left="32"/>
              <w:rPr>
                <w:rFonts w:ascii="Times New Roman" w:hAnsi="Times New Roman" w:cs="Times New Roman"/>
                <w:color w:val="auto"/>
                <w:sz w:val="20"/>
                <w:szCs w:val="20"/>
              </w:rPr>
            </w:pPr>
            <w:r>
              <w:rPr>
                <w:rFonts w:ascii="Times New Roman" w:hAnsi="Times New Roman" w:cs="Times New Roman"/>
                <w:b/>
                <w:bCs/>
                <w:sz w:val="20"/>
                <w:szCs w:val="20"/>
              </w:rPr>
              <w:t>Objectifs</w:t>
            </w:r>
          </w:p>
        </w:tc>
        <w:tc>
          <w:tcPr>
            <w:tcW w:w="8119" w:type="dxa"/>
          </w:tcPr>
          <w:p w14:paraId="6B015EBF" w14:textId="698F5317" w:rsidR="00D7662C" w:rsidRPr="0040460F" w:rsidRDefault="00642EFD" w:rsidP="00642EFD">
            <w:pPr>
              <w:pStyle w:val="Default"/>
              <w:spacing w:beforeLines="40" w:before="96" w:afterLines="40" w:after="96"/>
              <w:ind w:left="71" w:right="176"/>
              <w:jc w:val="both"/>
              <w:rPr>
                <w:rFonts w:ascii="Times New Roman" w:hAnsi="Times New Roman" w:cs="Times New Roman"/>
                <w:sz w:val="20"/>
                <w:szCs w:val="20"/>
              </w:rPr>
            </w:pPr>
            <w:r>
              <w:rPr>
                <w:rFonts w:ascii="Times New Roman" w:hAnsi="Times New Roman" w:cs="Times New Roman"/>
                <w:sz w:val="20"/>
                <w:szCs w:val="20"/>
              </w:rPr>
              <w:t>Concourir à la</w:t>
            </w:r>
            <w:r w:rsidR="000564B2" w:rsidRPr="0040460F">
              <w:rPr>
                <w:rFonts w:ascii="Times New Roman" w:hAnsi="Times New Roman" w:cs="Times New Roman"/>
                <w:sz w:val="20"/>
                <w:szCs w:val="20"/>
              </w:rPr>
              <w:t xml:space="preserve"> revitalisation </w:t>
            </w:r>
            <w:r>
              <w:rPr>
                <w:rFonts w:ascii="Times New Roman" w:hAnsi="Times New Roman" w:cs="Times New Roman"/>
                <w:sz w:val="20"/>
                <w:szCs w:val="20"/>
              </w:rPr>
              <w:t xml:space="preserve">et au </w:t>
            </w:r>
            <w:r w:rsidRPr="0040460F">
              <w:rPr>
                <w:rFonts w:ascii="Times New Roman" w:hAnsi="Times New Roman" w:cs="Times New Roman"/>
                <w:sz w:val="20"/>
                <w:szCs w:val="20"/>
              </w:rPr>
              <w:t xml:space="preserve">dynamisme des centres-bourgs </w:t>
            </w:r>
            <w:r w:rsidR="000564B2" w:rsidRPr="0040460F">
              <w:rPr>
                <w:rFonts w:ascii="Times New Roman" w:hAnsi="Times New Roman" w:cs="Times New Roman"/>
                <w:sz w:val="20"/>
                <w:szCs w:val="20"/>
              </w:rPr>
              <w:t>des centres-bourgs par la revalorisation du parc existant, l’amélioration de la qualité de ce parc (adaptation, performance énergétique, etc.), la résorption de la vacance du parc public et du parc privé, l’adéquation entre besoin des habitants et offre de logements.</w:t>
            </w:r>
          </w:p>
        </w:tc>
      </w:tr>
      <w:tr w:rsidR="004B6E67" w:rsidRPr="0040460F" w14:paraId="38D0EEB2" w14:textId="77777777" w:rsidTr="00745527">
        <w:trPr>
          <w:trHeight w:val="374"/>
        </w:trPr>
        <w:tc>
          <w:tcPr>
            <w:tcW w:w="2371" w:type="dxa"/>
          </w:tcPr>
          <w:p w14:paraId="4F1E65FC" w14:textId="6F241B02" w:rsidR="004B6E67" w:rsidRPr="0040460F" w:rsidRDefault="004B6E67" w:rsidP="00745527">
            <w:pPr>
              <w:pStyle w:val="Default"/>
              <w:spacing w:before="120"/>
              <w:ind w:left="32"/>
              <w:rPr>
                <w:rFonts w:ascii="Times New Roman" w:hAnsi="Times New Roman" w:cs="Times New Roman"/>
                <w:b/>
                <w:bCs/>
                <w:sz w:val="20"/>
                <w:szCs w:val="20"/>
              </w:rPr>
            </w:pPr>
            <w:r w:rsidRPr="0040460F">
              <w:rPr>
                <w:rFonts w:ascii="Times New Roman" w:hAnsi="Times New Roman" w:cs="Times New Roman"/>
                <w:b/>
                <w:bCs/>
                <w:sz w:val="20"/>
                <w:szCs w:val="20"/>
              </w:rPr>
              <w:t>Principes</w:t>
            </w:r>
            <w:r w:rsidR="003C5148">
              <w:rPr>
                <w:rFonts w:ascii="Times New Roman" w:hAnsi="Times New Roman" w:cs="Times New Roman"/>
                <w:b/>
                <w:bCs/>
                <w:sz w:val="20"/>
                <w:szCs w:val="20"/>
              </w:rPr>
              <w:t xml:space="preserve"> généraux</w:t>
            </w:r>
          </w:p>
        </w:tc>
        <w:tc>
          <w:tcPr>
            <w:tcW w:w="8119" w:type="dxa"/>
          </w:tcPr>
          <w:p w14:paraId="5C3B4F82" w14:textId="77777777" w:rsidR="00577305" w:rsidRDefault="004B6E67" w:rsidP="00745527">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sidRPr="0040460F">
              <w:rPr>
                <w:rFonts w:ascii="Times New Roman" w:hAnsi="Times New Roman" w:cs="Times New Roman"/>
                <w:sz w:val="20"/>
                <w:szCs w:val="20"/>
              </w:rPr>
              <w:t>D</w:t>
            </w:r>
            <w:r w:rsidR="00D067E9" w:rsidRPr="0040460F">
              <w:rPr>
                <w:rFonts w:ascii="Times New Roman" w:hAnsi="Times New Roman" w:cs="Times New Roman"/>
                <w:sz w:val="20"/>
                <w:szCs w:val="20"/>
              </w:rPr>
              <w:t xml:space="preserve">es </w:t>
            </w:r>
            <w:r w:rsidRPr="0040460F">
              <w:rPr>
                <w:rFonts w:ascii="Times New Roman" w:hAnsi="Times New Roman" w:cs="Times New Roman"/>
                <w:sz w:val="20"/>
                <w:szCs w:val="20"/>
              </w:rPr>
              <w:t xml:space="preserve">contrats </w:t>
            </w:r>
            <w:r w:rsidR="00D067E9" w:rsidRPr="0040460F">
              <w:rPr>
                <w:rFonts w:ascii="Times New Roman" w:hAnsi="Times New Roman" w:cs="Times New Roman"/>
                <w:sz w:val="20"/>
                <w:szCs w:val="20"/>
              </w:rPr>
              <w:t xml:space="preserve">de </w:t>
            </w:r>
            <w:r w:rsidR="00A02722" w:rsidRPr="0040460F">
              <w:rPr>
                <w:rFonts w:ascii="Times New Roman" w:hAnsi="Times New Roman" w:cs="Times New Roman"/>
                <w:sz w:val="20"/>
                <w:szCs w:val="20"/>
              </w:rPr>
              <w:t>2 x 3</w:t>
            </w:r>
            <w:r w:rsidRPr="0040460F">
              <w:rPr>
                <w:rFonts w:ascii="Times New Roman" w:hAnsi="Times New Roman" w:cs="Times New Roman"/>
                <w:sz w:val="20"/>
                <w:szCs w:val="20"/>
              </w:rPr>
              <w:t xml:space="preserve"> ans </w:t>
            </w:r>
            <w:r w:rsidR="00D067E9" w:rsidRPr="0040460F">
              <w:rPr>
                <w:rFonts w:ascii="Times New Roman" w:hAnsi="Times New Roman" w:cs="Times New Roman"/>
                <w:sz w:val="20"/>
                <w:szCs w:val="20"/>
              </w:rPr>
              <w:t>(</w:t>
            </w:r>
            <w:r w:rsidRPr="0040460F">
              <w:rPr>
                <w:rFonts w:ascii="Times New Roman" w:hAnsi="Times New Roman" w:cs="Times New Roman"/>
                <w:sz w:val="20"/>
                <w:szCs w:val="20"/>
              </w:rPr>
              <w:t>2023-</w:t>
            </w:r>
            <w:r w:rsidR="00E60DFE">
              <w:rPr>
                <w:rFonts w:ascii="Times New Roman" w:hAnsi="Times New Roman" w:cs="Times New Roman"/>
                <w:sz w:val="20"/>
                <w:szCs w:val="20"/>
              </w:rPr>
              <w:t>2025 et 2026-</w:t>
            </w:r>
            <w:r w:rsidRPr="0040460F">
              <w:rPr>
                <w:rFonts w:ascii="Times New Roman" w:hAnsi="Times New Roman" w:cs="Times New Roman"/>
                <w:sz w:val="20"/>
                <w:szCs w:val="20"/>
              </w:rPr>
              <w:t>2028)</w:t>
            </w:r>
          </w:p>
          <w:p w14:paraId="6A661BB2" w14:textId="77777777" w:rsidR="00577305" w:rsidRPr="001C0F01" w:rsidRDefault="00577305" w:rsidP="00577305">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Pr>
                <w:rFonts w:ascii="Times New Roman" w:hAnsi="Times New Roman" w:cs="Times New Roman"/>
                <w:sz w:val="20"/>
                <w:szCs w:val="20"/>
              </w:rPr>
              <w:t>En</w:t>
            </w:r>
            <w:r w:rsidRPr="001C0F01">
              <w:rPr>
                <w:rFonts w:ascii="Times New Roman" w:hAnsi="Times New Roman" w:cs="Times New Roman"/>
                <w:sz w:val="20"/>
                <w:szCs w:val="20"/>
              </w:rPr>
              <w:t>gagement de l’EPCI à mettre en place un PLH pour déclenchement de la 2ème période triennale ;</w:t>
            </w:r>
          </w:p>
          <w:p w14:paraId="173BDE9B" w14:textId="3CCDB02F" w:rsidR="008A4A69" w:rsidRDefault="00577305" w:rsidP="008A4A69">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sidRPr="00577305">
              <w:rPr>
                <w:rFonts w:ascii="Times New Roman" w:hAnsi="Times New Roman" w:cs="Times New Roman"/>
                <w:sz w:val="20"/>
                <w:szCs w:val="20"/>
              </w:rPr>
              <w:t xml:space="preserve">Répartition de l’enveloppe au libre choix de l’EPCI mais </w:t>
            </w:r>
            <w:r w:rsidR="008A4A69">
              <w:rPr>
                <w:rFonts w:ascii="Times New Roman" w:hAnsi="Times New Roman" w:cs="Times New Roman"/>
                <w:sz w:val="20"/>
                <w:szCs w:val="20"/>
              </w:rPr>
              <w:t xml:space="preserve">modalités de cette répartition fixées en dialogue avec le CD et </w:t>
            </w:r>
            <w:r w:rsidR="003C5148">
              <w:rPr>
                <w:rFonts w:ascii="Times New Roman" w:hAnsi="Times New Roman" w:cs="Times New Roman"/>
                <w:sz w:val="20"/>
                <w:szCs w:val="20"/>
              </w:rPr>
              <w:t>soumises</w:t>
            </w:r>
            <w:r w:rsidR="008A4A69">
              <w:rPr>
                <w:rFonts w:ascii="Times New Roman" w:hAnsi="Times New Roman" w:cs="Times New Roman"/>
                <w:sz w:val="20"/>
                <w:szCs w:val="20"/>
              </w:rPr>
              <w:t xml:space="preserve"> à validation de ce dernier ;</w:t>
            </w:r>
          </w:p>
          <w:p w14:paraId="6A4163F6" w14:textId="6D09CBAC" w:rsidR="00577305" w:rsidRPr="008A4A69" w:rsidRDefault="003C5148" w:rsidP="008A4A69">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Pr>
                <w:rFonts w:ascii="Times New Roman" w:hAnsi="Times New Roman" w:cs="Times New Roman"/>
                <w:sz w:val="20"/>
                <w:szCs w:val="20"/>
              </w:rPr>
              <w:t>E</w:t>
            </w:r>
            <w:r w:rsidR="008A4A69">
              <w:rPr>
                <w:rFonts w:ascii="Times New Roman" w:hAnsi="Times New Roman" w:cs="Times New Roman"/>
                <w:sz w:val="20"/>
                <w:szCs w:val="20"/>
              </w:rPr>
              <w:t>nsemble des 240 communes éligibles</w:t>
            </w:r>
            <w:r w:rsidR="00577305" w:rsidRPr="008A4A69">
              <w:rPr>
                <w:rFonts w:ascii="Times New Roman" w:hAnsi="Times New Roman" w:cs="Times New Roman"/>
                <w:sz w:val="20"/>
                <w:szCs w:val="20"/>
              </w:rPr>
              <w:t> ;</w:t>
            </w:r>
          </w:p>
          <w:p w14:paraId="66672A31" w14:textId="77777777" w:rsidR="008A4A69" w:rsidRDefault="008A4A69" w:rsidP="00577305">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Pr>
                <w:rFonts w:ascii="Times New Roman" w:hAnsi="Times New Roman" w:cs="Times New Roman"/>
                <w:sz w:val="20"/>
                <w:szCs w:val="20"/>
              </w:rPr>
              <w:t>Bilan du dispositif effectué à la fin de la première phase ;</w:t>
            </w:r>
          </w:p>
          <w:p w14:paraId="7295C10E" w14:textId="3E23E03E" w:rsidR="004B6E67" w:rsidRDefault="004B6E67" w:rsidP="00745527">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sidRPr="0040460F">
              <w:rPr>
                <w:rFonts w:ascii="Times New Roman" w:hAnsi="Times New Roman" w:cs="Times New Roman"/>
                <w:sz w:val="20"/>
                <w:szCs w:val="20"/>
              </w:rPr>
              <w:t>Une enveloppe attribuée par EPCI</w:t>
            </w:r>
          </w:p>
          <w:p w14:paraId="1C103F89" w14:textId="77777777" w:rsidR="004B6E67" w:rsidRDefault="008A4A69" w:rsidP="00642EFD">
            <w:pPr>
              <w:pStyle w:val="Default"/>
              <w:tabs>
                <w:tab w:val="left" w:pos="353"/>
              </w:tabs>
              <w:spacing w:beforeLines="40" w:before="96" w:afterLines="40" w:after="96"/>
              <w:ind w:left="355" w:right="176"/>
              <w:rPr>
                <w:rFonts w:ascii="Times New Roman" w:hAnsi="Times New Roman" w:cs="Times New Roman"/>
                <w:sz w:val="20"/>
                <w:szCs w:val="20"/>
              </w:rPr>
            </w:pPr>
            <w:r w:rsidRPr="00483222">
              <w:rPr>
                <w:rFonts w:ascii="Times New Roman" w:hAnsi="Times New Roman"/>
                <w:noProof/>
              </w:rPr>
              <w:drawing>
                <wp:inline distT="0" distB="0" distL="0" distR="0" wp14:anchorId="61211DA9" wp14:editId="0B93B4D4">
                  <wp:extent cx="4734838" cy="2095500"/>
                  <wp:effectExtent l="0" t="0" r="8890" b="0"/>
                  <wp:docPr id="8" name="Espace réservé du contenu 7" descr="Une image contenant table&#10;&#10;Description générée automatiquement">
                    <a:extLst xmlns:a="http://schemas.openxmlformats.org/drawingml/2006/main">
                      <a:ext uri="{FF2B5EF4-FFF2-40B4-BE49-F238E27FC236}">
                        <a16:creationId xmlns:a16="http://schemas.microsoft.com/office/drawing/2014/main" id="{2E9DEDC9-6CF0-4943-91A9-98C0AFFC91C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Espace réservé du contenu 7" descr="Une image contenant table&#10;&#10;Description générée automatiquement">
                            <a:extLst>
                              <a:ext uri="{FF2B5EF4-FFF2-40B4-BE49-F238E27FC236}">
                                <a16:creationId xmlns:a16="http://schemas.microsoft.com/office/drawing/2014/main" id="{2E9DEDC9-6CF0-4943-91A9-98C0AFFC91C7}"/>
                              </a:ext>
                            </a:extLst>
                          </pic:cNvPr>
                          <pic:cNvPicPr>
                            <a:picLocks noGrp="1" noChangeAspect="1"/>
                          </pic:cNvPicPr>
                        </pic:nvPicPr>
                        <pic:blipFill>
                          <a:blip r:embed="rId5"/>
                          <a:stretch>
                            <a:fillRect/>
                          </a:stretch>
                        </pic:blipFill>
                        <pic:spPr>
                          <a:xfrm>
                            <a:off x="0" y="0"/>
                            <a:ext cx="4755861" cy="2104804"/>
                          </a:xfrm>
                          <a:prstGeom prst="rect">
                            <a:avLst/>
                          </a:prstGeom>
                        </pic:spPr>
                      </pic:pic>
                    </a:graphicData>
                  </a:graphic>
                </wp:inline>
              </w:drawing>
            </w:r>
          </w:p>
          <w:p w14:paraId="2215C91C" w14:textId="4FC083A8" w:rsidR="00642EFD" w:rsidRPr="0040460F" w:rsidRDefault="00642EFD" w:rsidP="00642EFD">
            <w:pPr>
              <w:pStyle w:val="Default"/>
              <w:tabs>
                <w:tab w:val="left" w:pos="353"/>
              </w:tabs>
              <w:spacing w:beforeLines="40" w:before="96" w:afterLines="40" w:after="96"/>
              <w:ind w:left="355" w:right="176"/>
              <w:rPr>
                <w:rFonts w:ascii="Times New Roman" w:hAnsi="Times New Roman" w:cs="Times New Roman"/>
                <w:sz w:val="20"/>
                <w:szCs w:val="20"/>
              </w:rPr>
            </w:pPr>
          </w:p>
        </w:tc>
      </w:tr>
      <w:tr w:rsidR="003C5148" w:rsidRPr="0040460F" w14:paraId="0CCEAC3A" w14:textId="77777777" w:rsidTr="00745527">
        <w:trPr>
          <w:trHeight w:val="374"/>
        </w:trPr>
        <w:tc>
          <w:tcPr>
            <w:tcW w:w="2371" w:type="dxa"/>
          </w:tcPr>
          <w:p w14:paraId="6B70567A" w14:textId="6107C29F" w:rsidR="003C5148" w:rsidRPr="0040460F" w:rsidRDefault="00B14F28" w:rsidP="00745527">
            <w:pPr>
              <w:pStyle w:val="Default"/>
              <w:spacing w:before="120"/>
              <w:ind w:left="32"/>
              <w:rPr>
                <w:rFonts w:ascii="Times New Roman" w:hAnsi="Times New Roman" w:cs="Times New Roman"/>
                <w:b/>
                <w:bCs/>
                <w:sz w:val="20"/>
                <w:szCs w:val="20"/>
              </w:rPr>
            </w:pPr>
            <w:r>
              <w:rPr>
                <w:rFonts w:ascii="Times New Roman" w:hAnsi="Times New Roman" w:cs="Times New Roman"/>
                <w:b/>
                <w:bCs/>
                <w:sz w:val="20"/>
                <w:szCs w:val="20"/>
              </w:rPr>
              <w:t>Règles d’utilisation de la dotation</w:t>
            </w:r>
          </w:p>
        </w:tc>
        <w:tc>
          <w:tcPr>
            <w:tcW w:w="8119" w:type="dxa"/>
          </w:tcPr>
          <w:p w14:paraId="7726221D" w14:textId="35194A13" w:rsidR="003C5148" w:rsidRPr="003C5148" w:rsidRDefault="003C5148" w:rsidP="003C5148">
            <w:pPr>
              <w:pStyle w:val="Default"/>
              <w:numPr>
                <w:ilvl w:val="0"/>
                <w:numId w:val="4"/>
              </w:numPr>
              <w:tabs>
                <w:tab w:val="left" w:pos="353"/>
              </w:tabs>
              <w:spacing w:beforeLines="40" w:before="96" w:afterLines="40" w:after="96"/>
              <w:ind w:left="355" w:right="176" w:hanging="284"/>
              <w:rPr>
                <w:rFonts w:ascii="Times New Roman" w:hAnsi="Times New Roman"/>
                <w:sz w:val="20"/>
                <w:szCs w:val="20"/>
              </w:rPr>
            </w:pPr>
            <w:r>
              <w:rPr>
                <w:rFonts w:ascii="Times New Roman" w:hAnsi="Times New Roman"/>
                <w:sz w:val="20"/>
                <w:szCs w:val="20"/>
              </w:rPr>
              <w:t>Projets</w:t>
            </w:r>
            <w:r w:rsidRPr="003C5148">
              <w:rPr>
                <w:rFonts w:ascii="Times New Roman" w:hAnsi="Times New Roman"/>
                <w:sz w:val="20"/>
                <w:szCs w:val="20"/>
              </w:rPr>
              <w:t xml:space="preserve"> éligibles :</w:t>
            </w:r>
          </w:p>
          <w:p w14:paraId="0CF7A04F" w14:textId="77777777" w:rsidR="003C5148" w:rsidRPr="003C5148" w:rsidRDefault="003C5148" w:rsidP="003C5148">
            <w:pPr>
              <w:numPr>
                <w:ilvl w:val="0"/>
                <w:numId w:val="11"/>
              </w:numPr>
              <w:jc w:val="both"/>
              <w:rPr>
                <w:rFonts w:ascii="Times New Roman" w:hAnsi="Times New Roman"/>
                <w:sz w:val="20"/>
                <w:szCs w:val="20"/>
              </w:rPr>
            </w:pPr>
            <w:r w:rsidRPr="003C5148">
              <w:rPr>
                <w:rFonts w:ascii="Times New Roman" w:hAnsi="Times New Roman"/>
                <w:sz w:val="20"/>
                <w:szCs w:val="20"/>
              </w:rPr>
              <w:t>Les opérations de réhabilitation de logements existants ;</w:t>
            </w:r>
          </w:p>
          <w:p w14:paraId="12CDAE39" w14:textId="77777777" w:rsidR="003C5148" w:rsidRPr="003C5148" w:rsidRDefault="003C5148" w:rsidP="003C5148">
            <w:pPr>
              <w:numPr>
                <w:ilvl w:val="0"/>
                <w:numId w:val="11"/>
              </w:numPr>
              <w:jc w:val="both"/>
              <w:rPr>
                <w:rFonts w:ascii="Times New Roman" w:hAnsi="Times New Roman"/>
                <w:sz w:val="20"/>
                <w:szCs w:val="20"/>
              </w:rPr>
            </w:pPr>
            <w:r w:rsidRPr="003C5148">
              <w:rPr>
                <w:rFonts w:ascii="Times New Roman" w:hAnsi="Times New Roman"/>
                <w:sz w:val="20"/>
                <w:szCs w:val="20"/>
              </w:rPr>
              <w:t>La construction de logements située dans l’enveloppe urbaine (zonage U du PLU) ;</w:t>
            </w:r>
          </w:p>
          <w:p w14:paraId="77A18B08" w14:textId="77777777" w:rsidR="003C5148" w:rsidRPr="003C5148" w:rsidRDefault="003C5148" w:rsidP="003C5148">
            <w:pPr>
              <w:numPr>
                <w:ilvl w:val="0"/>
                <w:numId w:val="11"/>
              </w:numPr>
              <w:jc w:val="both"/>
              <w:rPr>
                <w:rFonts w:ascii="Times New Roman" w:hAnsi="Times New Roman"/>
                <w:sz w:val="20"/>
                <w:szCs w:val="20"/>
              </w:rPr>
            </w:pPr>
            <w:r w:rsidRPr="003C5148">
              <w:rPr>
                <w:rFonts w:ascii="Times New Roman" w:hAnsi="Times New Roman"/>
                <w:sz w:val="20"/>
                <w:szCs w:val="20"/>
              </w:rPr>
              <w:t>L’acquisition de logements ;</w:t>
            </w:r>
          </w:p>
          <w:p w14:paraId="0B5FB94E" w14:textId="77777777" w:rsidR="003C5148" w:rsidRPr="003C5148" w:rsidRDefault="003C5148" w:rsidP="003C5148">
            <w:pPr>
              <w:numPr>
                <w:ilvl w:val="0"/>
                <w:numId w:val="11"/>
              </w:numPr>
              <w:jc w:val="both"/>
              <w:rPr>
                <w:rFonts w:ascii="Times New Roman" w:hAnsi="Times New Roman"/>
                <w:sz w:val="20"/>
                <w:szCs w:val="20"/>
              </w:rPr>
            </w:pPr>
            <w:r w:rsidRPr="003C5148">
              <w:rPr>
                <w:rFonts w:ascii="Times New Roman" w:hAnsi="Times New Roman"/>
                <w:sz w:val="20"/>
                <w:szCs w:val="20"/>
              </w:rPr>
              <w:t>L’acquisition/viabilisation de parcelles sous réserve d’une garantie de mise en valeur à des fins d’habitat sous 3 ans ;</w:t>
            </w:r>
          </w:p>
          <w:p w14:paraId="7254A180" w14:textId="77777777" w:rsidR="003C5148" w:rsidRPr="003C5148" w:rsidRDefault="003C5148" w:rsidP="003C5148">
            <w:pPr>
              <w:numPr>
                <w:ilvl w:val="0"/>
                <w:numId w:val="11"/>
              </w:numPr>
              <w:jc w:val="both"/>
              <w:rPr>
                <w:rFonts w:ascii="Times New Roman" w:hAnsi="Times New Roman"/>
                <w:sz w:val="20"/>
                <w:szCs w:val="20"/>
              </w:rPr>
            </w:pPr>
            <w:r w:rsidRPr="003C5148">
              <w:rPr>
                <w:rFonts w:ascii="Times New Roman" w:hAnsi="Times New Roman"/>
                <w:sz w:val="20"/>
                <w:szCs w:val="20"/>
              </w:rPr>
              <w:t>La réalisation de Plan-guide ;</w:t>
            </w:r>
          </w:p>
          <w:p w14:paraId="1A2A13A8" w14:textId="392ABE5D" w:rsidR="003C5148" w:rsidRPr="003C5148" w:rsidRDefault="003C5148" w:rsidP="003C5148">
            <w:pPr>
              <w:numPr>
                <w:ilvl w:val="0"/>
                <w:numId w:val="11"/>
              </w:numPr>
              <w:jc w:val="both"/>
              <w:rPr>
                <w:rFonts w:ascii="Times New Roman" w:hAnsi="Times New Roman"/>
                <w:sz w:val="20"/>
                <w:szCs w:val="20"/>
              </w:rPr>
            </w:pPr>
            <w:r w:rsidRPr="003C5148">
              <w:rPr>
                <w:rFonts w:ascii="Times New Roman" w:hAnsi="Times New Roman"/>
                <w:sz w:val="20"/>
                <w:szCs w:val="20"/>
              </w:rPr>
              <w:t>La réalisation d’un PLH.</w:t>
            </w:r>
          </w:p>
          <w:p w14:paraId="5B40CEEC" w14:textId="71ADC80B" w:rsidR="003C5148" w:rsidRPr="003C5148" w:rsidRDefault="003C5148" w:rsidP="003C5148">
            <w:pPr>
              <w:pStyle w:val="Default"/>
              <w:numPr>
                <w:ilvl w:val="0"/>
                <w:numId w:val="4"/>
              </w:numPr>
              <w:tabs>
                <w:tab w:val="left" w:pos="353"/>
              </w:tabs>
              <w:spacing w:beforeLines="40" w:before="96" w:afterLines="40" w:after="96"/>
              <w:ind w:left="355" w:right="176" w:hanging="284"/>
              <w:rPr>
                <w:rFonts w:ascii="Times New Roman" w:hAnsi="Times New Roman"/>
                <w:sz w:val="20"/>
                <w:szCs w:val="20"/>
              </w:rPr>
            </w:pPr>
            <w:r w:rsidRPr="003C5148">
              <w:rPr>
                <w:rFonts w:ascii="Times New Roman" w:hAnsi="Times New Roman"/>
                <w:sz w:val="20"/>
                <w:szCs w:val="20"/>
              </w:rPr>
              <w:t>Possibilité pour l’EPCI de réserver une partie de l’enveloppe contractualisée pour la mise en place ou l’actualisation d’un PLH</w:t>
            </w:r>
            <w:r>
              <w:rPr>
                <w:rFonts w:ascii="Times New Roman" w:hAnsi="Times New Roman"/>
                <w:sz w:val="20"/>
                <w:szCs w:val="20"/>
              </w:rPr>
              <w:t xml:space="preserve"> (soit </w:t>
            </w:r>
            <w:r w:rsidRPr="003C5148">
              <w:rPr>
                <w:rFonts w:ascii="Times New Roman" w:hAnsi="Times New Roman"/>
                <w:sz w:val="20"/>
                <w:szCs w:val="20"/>
              </w:rPr>
              <w:t>subvention directe soit financement à hauteur de 80 % d’un poste en régie, avec une subvention maximum de 100 000 € sur la durée des contrats</w:t>
            </w:r>
            <w:r w:rsidR="00B14F28">
              <w:rPr>
                <w:rFonts w:ascii="Times New Roman" w:hAnsi="Times New Roman"/>
                <w:sz w:val="20"/>
                <w:szCs w:val="20"/>
              </w:rPr>
              <w:t>)</w:t>
            </w:r>
            <w:r w:rsidRPr="003C5148">
              <w:rPr>
                <w:rFonts w:ascii="Times New Roman" w:hAnsi="Times New Roman"/>
                <w:sz w:val="20"/>
                <w:szCs w:val="20"/>
              </w:rPr>
              <w:t>.</w:t>
            </w:r>
          </w:p>
          <w:p w14:paraId="4C9F51DC" w14:textId="77777777" w:rsidR="003C5148" w:rsidRPr="003C5148" w:rsidRDefault="003C5148" w:rsidP="003C5148">
            <w:pPr>
              <w:pStyle w:val="Default"/>
              <w:numPr>
                <w:ilvl w:val="0"/>
                <w:numId w:val="4"/>
              </w:numPr>
              <w:tabs>
                <w:tab w:val="left" w:pos="353"/>
              </w:tabs>
              <w:spacing w:beforeLines="40" w:before="96" w:afterLines="40" w:after="96"/>
              <w:ind w:left="355" w:right="176" w:hanging="284"/>
              <w:rPr>
                <w:rFonts w:ascii="Times New Roman" w:hAnsi="Times New Roman"/>
                <w:sz w:val="20"/>
                <w:szCs w:val="20"/>
              </w:rPr>
            </w:pPr>
            <w:r w:rsidRPr="003C5148">
              <w:rPr>
                <w:rFonts w:ascii="Times New Roman" w:hAnsi="Times New Roman"/>
                <w:sz w:val="20"/>
                <w:szCs w:val="20"/>
              </w:rPr>
              <w:t>Non éligibles :</w:t>
            </w:r>
          </w:p>
          <w:p w14:paraId="345A5782" w14:textId="77777777" w:rsidR="003C5148" w:rsidRPr="003C5148" w:rsidRDefault="003C5148" w:rsidP="003C5148">
            <w:pPr>
              <w:numPr>
                <w:ilvl w:val="0"/>
                <w:numId w:val="11"/>
              </w:numPr>
              <w:jc w:val="both"/>
              <w:rPr>
                <w:rFonts w:ascii="Times New Roman" w:hAnsi="Times New Roman"/>
                <w:sz w:val="20"/>
                <w:szCs w:val="20"/>
              </w:rPr>
            </w:pPr>
            <w:proofErr w:type="gramStart"/>
            <w:r w:rsidRPr="003C5148">
              <w:rPr>
                <w:rFonts w:ascii="Times New Roman" w:hAnsi="Times New Roman"/>
                <w:sz w:val="20"/>
                <w:szCs w:val="20"/>
              </w:rPr>
              <w:t>les</w:t>
            </w:r>
            <w:proofErr w:type="gramEnd"/>
            <w:r w:rsidRPr="003C5148">
              <w:rPr>
                <w:rFonts w:ascii="Times New Roman" w:hAnsi="Times New Roman"/>
                <w:sz w:val="20"/>
                <w:szCs w:val="20"/>
              </w:rPr>
              <w:t xml:space="preserve"> études qui ne sont pas citées ci-dessus, </w:t>
            </w:r>
          </w:p>
          <w:p w14:paraId="74627E36" w14:textId="77777777" w:rsidR="003C5148" w:rsidRPr="003C5148" w:rsidRDefault="003C5148" w:rsidP="003C5148">
            <w:pPr>
              <w:numPr>
                <w:ilvl w:val="0"/>
                <w:numId w:val="11"/>
              </w:numPr>
              <w:jc w:val="both"/>
              <w:rPr>
                <w:rFonts w:ascii="Times New Roman" w:hAnsi="Times New Roman"/>
                <w:sz w:val="20"/>
                <w:szCs w:val="20"/>
              </w:rPr>
            </w:pPr>
            <w:proofErr w:type="gramStart"/>
            <w:r w:rsidRPr="003C5148">
              <w:rPr>
                <w:rFonts w:ascii="Times New Roman" w:hAnsi="Times New Roman"/>
                <w:sz w:val="20"/>
                <w:szCs w:val="20"/>
              </w:rPr>
              <w:t>l’achat</w:t>
            </w:r>
            <w:proofErr w:type="gramEnd"/>
            <w:r w:rsidRPr="003C5148">
              <w:rPr>
                <w:rFonts w:ascii="Times New Roman" w:hAnsi="Times New Roman"/>
                <w:sz w:val="20"/>
                <w:szCs w:val="20"/>
              </w:rPr>
              <w:t xml:space="preserve"> de mobilier, </w:t>
            </w:r>
          </w:p>
          <w:p w14:paraId="2E8C082D" w14:textId="77777777" w:rsidR="003C5148" w:rsidRPr="003C5148" w:rsidRDefault="003C5148" w:rsidP="003C5148">
            <w:pPr>
              <w:numPr>
                <w:ilvl w:val="0"/>
                <w:numId w:val="11"/>
              </w:numPr>
              <w:jc w:val="both"/>
              <w:rPr>
                <w:rFonts w:ascii="Times New Roman" w:hAnsi="Times New Roman"/>
                <w:sz w:val="20"/>
                <w:szCs w:val="20"/>
              </w:rPr>
            </w:pPr>
            <w:proofErr w:type="gramStart"/>
            <w:r w:rsidRPr="003C5148">
              <w:rPr>
                <w:rFonts w:ascii="Times New Roman" w:hAnsi="Times New Roman"/>
                <w:sz w:val="20"/>
                <w:szCs w:val="20"/>
              </w:rPr>
              <w:t>les</w:t>
            </w:r>
            <w:proofErr w:type="gramEnd"/>
            <w:r w:rsidRPr="003C5148">
              <w:rPr>
                <w:rFonts w:ascii="Times New Roman" w:hAnsi="Times New Roman"/>
                <w:sz w:val="20"/>
                <w:szCs w:val="20"/>
              </w:rPr>
              <w:t xml:space="preserve"> opérations d’acquisition, de viabilisation ou de construction ne se situant pas en zone U ou n’intégrant pas la production de logements ainsi que la démolition stricte sans création de logements. </w:t>
            </w:r>
          </w:p>
          <w:p w14:paraId="3AB46720" w14:textId="77777777" w:rsidR="003C5148" w:rsidRPr="003C5148" w:rsidRDefault="003C5148" w:rsidP="003C5148">
            <w:pPr>
              <w:numPr>
                <w:ilvl w:val="0"/>
                <w:numId w:val="11"/>
              </w:numPr>
              <w:jc w:val="both"/>
              <w:rPr>
                <w:rFonts w:ascii="Times New Roman" w:hAnsi="Times New Roman"/>
                <w:sz w:val="20"/>
                <w:szCs w:val="20"/>
              </w:rPr>
            </w:pPr>
            <w:r w:rsidRPr="003C5148">
              <w:rPr>
                <w:rFonts w:ascii="Times New Roman" w:hAnsi="Times New Roman"/>
                <w:sz w:val="20"/>
                <w:szCs w:val="20"/>
              </w:rPr>
              <w:t xml:space="preserve">Les opérations de démolitions dites strictes seront cependant autorisées à partir de la seconde période de contractualisation (2026). </w:t>
            </w:r>
          </w:p>
          <w:p w14:paraId="604F2B18" w14:textId="7B9B3A6F" w:rsidR="003C5148" w:rsidRPr="003C5148" w:rsidRDefault="003C5148" w:rsidP="003C5148">
            <w:pPr>
              <w:pStyle w:val="Default"/>
              <w:numPr>
                <w:ilvl w:val="0"/>
                <w:numId w:val="4"/>
              </w:numPr>
              <w:tabs>
                <w:tab w:val="left" w:pos="353"/>
              </w:tabs>
              <w:spacing w:beforeLines="40" w:before="96" w:afterLines="40" w:after="96"/>
              <w:ind w:left="355" w:right="176" w:hanging="284"/>
              <w:rPr>
                <w:rFonts w:ascii="Times New Roman" w:hAnsi="Times New Roman"/>
                <w:sz w:val="20"/>
                <w:szCs w:val="20"/>
              </w:rPr>
            </w:pPr>
            <w:r>
              <w:rPr>
                <w:rFonts w:ascii="Times New Roman" w:hAnsi="Times New Roman"/>
                <w:sz w:val="20"/>
                <w:szCs w:val="20"/>
              </w:rPr>
              <w:t>Re</w:t>
            </w:r>
            <w:r w:rsidRPr="003C5148">
              <w:rPr>
                <w:rFonts w:ascii="Times New Roman" w:hAnsi="Times New Roman"/>
                <w:sz w:val="20"/>
                <w:szCs w:val="20"/>
              </w:rPr>
              <w:t xml:space="preserve">versement de l’aide au prorata </w:t>
            </w:r>
            <w:proofErr w:type="spellStart"/>
            <w:r w:rsidRPr="003C5148">
              <w:rPr>
                <w:rFonts w:ascii="Times New Roman" w:hAnsi="Times New Roman"/>
                <w:sz w:val="20"/>
                <w:szCs w:val="20"/>
              </w:rPr>
              <w:t>temporis</w:t>
            </w:r>
            <w:proofErr w:type="spellEnd"/>
            <w:r w:rsidRPr="003C5148">
              <w:rPr>
                <w:rFonts w:ascii="Times New Roman" w:hAnsi="Times New Roman"/>
                <w:sz w:val="20"/>
                <w:szCs w:val="20"/>
              </w:rPr>
              <w:t xml:space="preserve"> obligatoire si le logement ou la parcelle acquise est revendue sous 10 ans à compter de la date du solde.</w:t>
            </w:r>
          </w:p>
          <w:p w14:paraId="18ADC396" w14:textId="77777777" w:rsidR="003C5148" w:rsidRDefault="003C5148" w:rsidP="003C5148">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Pr>
                <w:rFonts w:ascii="Times New Roman" w:hAnsi="Times New Roman" w:cs="Times New Roman"/>
                <w:sz w:val="20"/>
                <w:szCs w:val="20"/>
              </w:rPr>
              <w:t>Subvention départementale corrélée à l’obtention a minima d’une étique énergétique C (neuf ou existant).</w:t>
            </w:r>
          </w:p>
          <w:p w14:paraId="4FB278BC" w14:textId="7A22208E" w:rsidR="00582391" w:rsidRPr="003C5148" w:rsidRDefault="00582391" w:rsidP="00582391">
            <w:pPr>
              <w:pStyle w:val="Default"/>
              <w:tabs>
                <w:tab w:val="left" w:pos="353"/>
              </w:tabs>
              <w:spacing w:beforeLines="40" w:before="96" w:afterLines="40" w:after="96"/>
              <w:ind w:left="355" w:right="176"/>
              <w:rPr>
                <w:rFonts w:ascii="Times New Roman" w:hAnsi="Times New Roman" w:cs="Times New Roman"/>
                <w:sz w:val="20"/>
                <w:szCs w:val="20"/>
              </w:rPr>
            </w:pPr>
          </w:p>
        </w:tc>
      </w:tr>
      <w:tr w:rsidR="00B14F28" w:rsidRPr="0040460F" w14:paraId="70C9C472" w14:textId="77777777" w:rsidTr="00745527">
        <w:trPr>
          <w:trHeight w:val="374"/>
        </w:trPr>
        <w:tc>
          <w:tcPr>
            <w:tcW w:w="2371" w:type="dxa"/>
          </w:tcPr>
          <w:p w14:paraId="49BB4EA6" w14:textId="3AD6F635" w:rsidR="00B14F28" w:rsidRDefault="00B14F28" w:rsidP="00745527">
            <w:pPr>
              <w:pStyle w:val="Default"/>
              <w:spacing w:before="120"/>
              <w:ind w:left="32"/>
              <w:rPr>
                <w:rFonts w:ascii="Times New Roman" w:hAnsi="Times New Roman" w:cs="Times New Roman"/>
                <w:b/>
                <w:bCs/>
                <w:sz w:val="20"/>
                <w:szCs w:val="20"/>
              </w:rPr>
            </w:pPr>
            <w:r>
              <w:rPr>
                <w:rFonts w:ascii="Times New Roman" w:hAnsi="Times New Roman" w:cs="Times New Roman"/>
                <w:b/>
                <w:bCs/>
                <w:sz w:val="20"/>
                <w:szCs w:val="20"/>
              </w:rPr>
              <w:lastRenderedPageBreak/>
              <w:t>Bonus</w:t>
            </w:r>
          </w:p>
        </w:tc>
        <w:tc>
          <w:tcPr>
            <w:tcW w:w="8119" w:type="dxa"/>
          </w:tcPr>
          <w:p w14:paraId="72B8E470" w14:textId="20207781" w:rsidR="00B14F28" w:rsidRPr="00B14F28" w:rsidRDefault="00B14F28" w:rsidP="00B14F28">
            <w:pPr>
              <w:pStyle w:val="Default"/>
              <w:numPr>
                <w:ilvl w:val="0"/>
                <w:numId w:val="4"/>
              </w:numPr>
              <w:tabs>
                <w:tab w:val="left" w:pos="353"/>
              </w:tabs>
              <w:spacing w:beforeLines="40" w:before="96" w:afterLines="40" w:after="96"/>
              <w:ind w:left="355" w:right="176" w:hanging="284"/>
              <w:rPr>
                <w:rFonts w:ascii="Times New Roman" w:hAnsi="Times New Roman"/>
                <w:bCs/>
                <w:sz w:val="20"/>
                <w:szCs w:val="20"/>
              </w:rPr>
            </w:pPr>
            <w:r w:rsidRPr="00B14F28">
              <w:rPr>
                <w:rFonts w:ascii="Times New Roman" w:hAnsi="Times New Roman"/>
                <w:bCs/>
                <w:sz w:val="20"/>
                <w:szCs w:val="20"/>
              </w:rPr>
              <w:t xml:space="preserve">Bonus dans les situations suivantes : </w:t>
            </w:r>
          </w:p>
          <w:p w14:paraId="3A209F70" w14:textId="77777777" w:rsidR="00B14F28" w:rsidRPr="00B14F28" w:rsidRDefault="00B14F28" w:rsidP="00EC1FC4">
            <w:pPr>
              <w:pStyle w:val="Paragraphedeliste"/>
              <w:numPr>
                <w:ilvl w:val="0"/>
                <w:numId w:val="13"/>
              </w:numPr>
              <w:spacing w:after="100"/>
              <w:ind w:left="714" w:hanging="357"/>
              <w:jc w:val="both"/>
              <w:rPr>
                <w:rFonts w:ascii="Times New Roman" w:hAnsi="Times New Roman"/>
                <w:b/>
                <w:sz w:val="20"/>
                <w:szCs w:val="20"/>
              </w:rPr>
            </w:pPr>
            <w:r w:rsidRPr="00B14F28">
              <w:rPr>
                <w:rFonts w:ascii="Times New Roman" w:hAnsi="Times New Roman"/>
                <w:bCs/>
                <w:sz w:val="20"/>
                <w:szCs w:val="20"/>
              </w:rPr>
              <w:t xml:space="preserve">Obtention de l’étiquette énergétique A ou B : </w:t>
            </w:r>
            <w:r w:rsidRPr="00B14F28">
              <w:rPr>
                <w:rFonts w:ascii="Times New Roman" w:hAnsi="Times New Roman"/>
                <w:b/>
                <w:sz w:val="20"/>
                <w:szCs w:val="20"/>
              </w:rPr>
              <w:t>5000 € / Opération ;</w:t>
            </w:r>
          </w:p>
          <w:p w14:paraId="1091642E" w14:textId="77777777" w:rsidR="00B14F28" w:rsidRPr="00B14F28" w:rsidRDefault="00B14F28" w:rsidP="00EC1FC4">
            <w:pPr>
              <w:pStyle w:val="Paragraphedeliste"/>
              <w:numPr>
                <w:ilvl w:val="0"/>
                <w:numId w:val="13"/>
              </w:numPr>
              <w:spacing w:after="100"/>
              <w:ind w:left="714" w:hanging="357"/>
              <w:jc w:val="both"/>
              <w:rPr>
                <w:rFonts w:ascii="Times New Roman" w:hAnsi="Times New Roman"/>
                <w:bCs/>
                <w:sz w:val="20"/>
                <w:szCs w:val="20"/>
              </w:rPr>
            </w:pPr>
            <w:r w:rsidRPr="00B14F28">
              <w:rPr>
                <w:rFonts w:ascii="Times New Roman" w:hAnsi="Times New Roman"/>
                <w:bCs/>
                <w:sz w:val="20"/>
                <w:szCs w:val="20"/>
              </w:rPr>
              <w:t xml:space="preserve">Labellisation environnementale officielle (BBCA, BEPOS) : </w:t>
            </w:r>
            <w:r w:rsidRPr="00B14F28">
              <w:rPr>
                <w:rFonts w:ascii="Times New Roman" w:hAnsi="Times New Roman"/>
                <w:b/>
                <w:sz w:val="20"/>
                <w:szCs w:val="20"/>
              </w:rPr>
              <w:t>5000 € / Opération ;</w:t>
            </w:r>
          </w:p>
          <w:p w14:paraId="34BD000B" w14:textId="77777777" w:rsidR="00B14F28" w:rsidRPr="00B14F28" w:rsidRDefault="00B14F28" w:rsidP="00EC1FC4">
            <w:pPr>
              <w:pStyle w:val="Paragraphedeliste"/>
              <w:numPr>
                <w:ilvl w:val="0"/>
                <w:numId w:val="13"/>
              </w:numPr>
              <w:spacing w:after="100"/>
              <w:ind w:left="714" w:hanging="357"/>
              <w:jc w:val="both"/>
              <w:rPr>
                <w:rFonts w:ascii="Times New Roman" w:hAnsi="Times New Roman"/>
                <w:bCs/>
                <w:sz w:val="20"/>
                <w:szCs w:val="20"/>
              </w:rPr>
            </w:pPr>
            <w:r w:rsidRPr="00B14F28">
              <w:rPr>
                <w:rFonts w:ascii="Times New Roman" w:hAnsi="Times New Roman"/>
                <w:bCs/>
                <w:sz w:val="20"/>
                <w:szCs w:val="20"/>
              </w:rPr>
              <w:t xml:space="preserve">Projets situés en périmètre PVD, ACV, VA ou OPAH-RU : </w:t>
            </w:r>
            <w:r w:rsidRPr="00B14F28">
              <w:rPr>
                <w:rFonts w:ascii="Times New Roman" w:hAnsi="Times New Roman"/>
                <w:b/>
                <w:sz w:val="20"/>
                <w:szCs w:val="20"/>
              </w:rPr>
              <w:t>10 000 € / Opération ;</w:t>
            </w:r>
          </w:p>
          <w:p w14:paraId="51B77CD6" w14:textId="77777777" w:rsidR="00B14F28" w:rsidRPr="00B14F28" w:rsidRDefault="00B14F28" w:rsidP="00EC1FC4">
            <w:pPr>
              <w:pStyle w:val="Paragraphedeliste"/>
              <w:numPr>
                <w:ilvl w:val="0"/>
                <w:numId w:val="13"/>
              </w:numPr>
              <w:spacing w:after="100"/>
              <w:ind w:left="714" w:hanging="357"/>
              <w:jc w:val="both"/>
              <w:rPr>
                <w:rFonts w:ascii="Times New Roman" w:hAnsi="Times New Roman"/>
                <w:bCs/>
                <w:sz w:val="20"/>
                <w:szCs w:val="20"/>
              </w:rPr>
            </w:pPr>
            <w:r w:rsidRPr="00B14F28">
              <w:rPr>
                <w:rFonts w:ascii="Times New Roman" w:hAnsi="Times New Roman"/>
                <w:bCs/>
                <w:sz w:val="20"/>
                <w:szCs w:val="20"/>
              </w:rPr>
              <w:t xml:space="preserve">Réhabilitation de logement communal avec gestion confiée à un bailleur social / AIS : </w:t>
            </w:r>
            <w:r w:rsidRPr="00B14F28">
              <w:rPr>
                <w:rFonts w:ascii="Times New Roman" w:hAnsi="Times New Roman"/>
                <w:b/>
                <w:sz w:val="20"/>
                <w:szCs w:val="20"/>
              </w:rPr>
              <w:t>2500 € / Opération.</w:t>
            </w:r>
          </w:p>
          <w:p w14:paraId="31C5152A" w14:textId="4D2587C6" w:rsidR="00B14F28" w:rsidRDefault="00B14F28" w:rsidP="00B14F28">
            <w:pPr>
              <w:pStyle w:val="Default"/>
              <w:numPr>
                <w:ilvl w:val="0"/>
                <w:numId w:val="4"/>
              </w:numPr>
              <w:tabs>
                <w:tab w:val="left" w:pos="353"/>
              </w:tabs>
              <w:spacing w:beforeLines="40" w:before="96" w:afterLines="40" w:after="96"/>
              <w:ind w:left="355" w:right="176" w:hanging="284"/>
              <w:jc w:val="both"/>
              <w:rPr>
                <w:rFonts w:ascii="Times New Roman" w:hAnsi="Times New Roman"/>
                <w:sz w:val="20"/>
                <w:szCs w:val="20"/>
              </w:rPr>
            </w:pPr>
            <w:r w:rsidRPr="00B14F28">
              <w:rPr>
                <w:rFonts w:ascii="Times New Roman" w:hAnsi="Times New Roman"/>
                <w:bCs/>
                <w:sz w:val="20"/>
                <w:szCs w:val="20"/>
              </w:rPr>
              <w:t>Possibilité de cumuler 2 bonus, dans la limite de 15 000 €. Ne sont cependant pas cumulables les bonus « Étiquette énergétique A ou B » ainsi que « Labellisation environnementale ».</w:t>
            </w:r>
          </w:p>
        </w:tc>
      </w:tr>
      <w:tr w:rsidR="00B14F28" w:rsidRPr="0040460F" w14:paraId="43428532" w14:textId="77777777" w:rsidTr="00745527">
        <w:trPr>
          <w:trHeight w:val="374"/>
        </w:trPr>
        <w:tc>
          <w:tcPr>
            <w:tcW w:w="2371" w:type="dxa"/>
          </w:tcPr>
          <w:p w14:paraId="2DB7CDF0" w14:textId="19B90E59" w:rsidR="00B14F28" w:rsidRDefault="00B14F28" w:rsidP="00745527">
            <w:pPr>
              <w:pStyle w:val="Default"/>
              <w:spacing w:before="120"/>
              <w:ind w:left="32"/>
              <w:rPr>
                <w:rFonts w:ascii="Times New Roman" w:hAnsi="Times New Roman" w:cs="Times New Roman"/>
                <w:b/>
                <w:bCs/>
                <w:sz w:val="20"/>
                <w:szCs w:val="20"/>
              </w:rPr>
            </w:pPr>
            <w:r>
              <w:rPr>
                <w:rFonts w:ascii="Times New Roman" w:hAnsi="Times New Roman" w:cs="Times New Roman"/>
                <w:b/>
                <w:bCs/>
                <w:sz w:val="20"/>
                <w:szCs w:val="20"/>
              </w:rPr>
              <w:t>Bénéficiaires</w:t>
            </w:r>
          </w:p>
        </w:tc>
        <w:tc>
          <w:tcPr>
            <w:tcW w:w="8119" w:type="dxa"/>
          </w:tcPr>
          <w:p w14:paraId="7F643B43" w14:textId="21E21980" w:rsidR="00B14F28" w:rsidRPr="00B14F28" w:rsidRDefault="00B14F28" w:rsidP="00B14F28">
            <w:pPr>
              <w:pStyle w:val="Default"/>
              <w:numPr>
                <w:ilvl w:val="0"/>
                <w:numId w:val="4"/>
              </w:numPr>
              <w:tabs>
                <w:tab w:val="left" w:pos="353"/>
              </w:tabs>
              <w:spacing w:beforeLines="40" w:before="96" w:afterLines="40" w:after="96"/>
              <w:ind w:left="355" w:right="176" w:hanging="284"/>
              <w:rPr>
                <w:rFonts w:ascii="Times New Roman" w:hAnsi="Times New Roman"/>
                <w:bCs/>
                <w:sz w:val="20"/>
                <w:szCs w:val="20"/>
              </w:rPr>
            </w:pPr>
            <w:r>
              <w:rPr>
                <w:rFonts w:ascii="Times New Roman" w:hAnsi="Times New Roman"/>
                <w:bCs/>
                <w:sz w:val="20"/>
                <w:szCs w:val="20"/>
              </w:rPr>
              <w:t>Communes, EPCI.</w:t>
            </w:r>
          </w:p>
        </w:tc>
      </w:tr>
      <w:tr w:rsidR="000564B2" w:rsidRPr="0040460F" w14:paraId="39CB20DF" w14:textId="77777777" w:rsidTr="00642EFD">
        <w:trPr>
          <w:trHeight w:val="1848"/>
        </w:trPr>
        <w:tc>
          <w:tcPr>
            <w:tcW w:w="2371" w:type="dxa"/>
          </w:tcPr>
          <w:p w14:paraId="4261ECFE" w14:textId="4B9F9ED3" w:rsidR="000564B2" w:rsidRPr="0040460F" w:rsidRDefault="00B14F28" w:rsidP="00745527">
            <w:pPr>
              <w:pStyle w:val="Default"/>
              <w:spacing w:before="120"/>
              <w:rPr>
                <w:rFonts w:ascii="Times New Roman" w:hAnsi="Times New Roman" w:cs="Times New Roman"/>
                <w:sz w:val="20"/>
                <w:szCs w:val="20"/>
              </w:rPr>
            </w:pPr>
            <w:r>
              <w:rPr>
                <w:rFonts w:ascii="Times New Roman" w:hAnsi="Times New Roman" w:cs="Times New Roman"/>
                <w:b/>
                <w:bCs/>
                <w:sz w:val="20"/>
                <w:szCs w:val="20"/>
              </w:rPr>
              <w:t>Modalités d’intervention</w:t>
            </w:r>
            <w:r w:rsidR="000564B2" w:rsidRPr="0040460F">
              <w:rPr>
                <w:rFonts w:ascii="Times New Roman" w:hAnsi="Times New Roman" w:cs="Times New Roman"/>
                <w:b/>
                <w:bCs/>
                <w:sz w:val="20"/>
                <w:szCs w:val="20"/>
              </w:rPr>
              <w:t xml:space="preserve"> </w:t>
            </w:r>
          </w:p>
        </w:tc>
        <w:tc>
          <w:tcPr>
            <w:tcW w:w="8119" w:type="dxa"/>
          </w:tcPr>
          <w:p w14:paraId="41CDAD4E" w14:textId="5E959558" w:rsidR="0096367A" w:rsidRPr="007D3FAF" w:rsidRDefault="0096367A" w:rsidP="007D3FAF">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Pr>
                <w:rFonts w:ascii="Times New Roman" w:hAnsi="Times New Roman" w:cs="Times New Roman"/>
                <w:sz w:val="20"/>
                <w:szCs w:val="20"/>
              </w:rPr>
              <w:t>E</w:t>
            </w:r>
            <w:r w:rsidRPr="0096367A">
              <w:rPr>
                <w:rFonts w:ascii="Times New Roman" w:hAnsi="Times New Roman" w:cs="Times New Roman"/>
                <w:sz w:val="20"/>
                <w:szCs w:val="20"/>
              </w:rPr>
              <w:t>ngagement du projet à compter du 1er janvier 202</w:t>
            </w:r>
            <w:r w:rsidR="00B14F28">
              <w:rPr>
                <w:rFonts w:ascii="Times New Roman" w:hAnsi="Times New Roman" w:cs="Times New Roman"/>
                <w:sz w:val="20"/>
                <w:szCs w:val="20"/>
              </w:rPr>
              <w:t>3</w:t>
            </w:r>
            <w:r w:rsidRPr="0096367A">
              <w:rPr>
                <w:rFonts w:ascii="Times New Roman" w:hAnsi="Times New Roman" w:cs="Times New Roman"/>
                <w:sz w:val="20"/>
                <w:szCs w:val="20"/>
              </w:rPr>
              <w:t xml:space="preserve"> (date de l’acte d’achat, du démarrage des travaux ou date de commande) ;</w:t>
            </w:r>
            <w:r w:rsidR="007D3FAF">
              <w:rPr>
                <w:rFonts w:ascii="Times New Roman" w:hAnsi="Times New Roman" w:cs="Times New Roman"/>
                <w:sz w:val="20"/>
                <w:szCs w:val="20"/>
              </w:rPr>
              <w:t xml:space="preserve"> </w:t>
            </w:r>
            <w:r w:rsidR="007D3FAF" w:rsidRPr="007D3FAF">
              <w:rPr>
                <w:rFonts w:ascii="Times New Roman" w:hAnsi="Times New Roman" w:cs="Times New Roman"/>
                <w:sz w:val="20"/>
                <w:szCs w:val="20"/>
              </w:rPr>
              <w:t>par dérogation au règlement budgétaire et financier du Département le projet pourra avoir eu un début d’exécution avant la</w:t>
            </w:r>
            <w:r w:rsidR="000B3792">
              <w:rPr>
                <w:rFonts w:ascii="Times New Roman" w:hAnsi="Times New Roman" w:cs="Times New Roman"/>
                <w:sz w:val="20"/>
                <w:szCs w:val="20"/>
              </w:rPr>
              <w:t xml:space="preserve"> décision attributive de l’aide ;</w:t>
            </w:r>
          </w:p>
          <w:p w14:paraId="0A7E6BCC" w14:textId="77777777" w:rsidR="00D76F0B" w:rsidRDefault="0096367A" w:rsidP="007D3FAF">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Pr>
                <w:rFonts w:ascii="Times New Roman" w:hAnsi="Times New Roman" w:cs="Times New Roman"/>
                <w:sz w:val="20"/>
                <w:szCs w:val="20"/>
              </w:rPr>
              <w:t>Subvention d’un montant minimum de 10 000 €</w:t>
            </w:r>
            <w:r w:rsidR="000B3792">
              <w:rPr>
                <w:rFonts w:ascii="Times New Roman" w:hAnsi="Times New Roman" w:cs="Times New Roman"/>
                <w:sz w:val="20"/>
                <w:szCs w:val="20"/>
              </w:rPr>
              <w:t> ;</w:t>
            </w:r>
          </w:p>
          <w:p w14:paraId="1D7F5ACD" w14:textId="76E8C66E" w:rsidR="00983756" w:rsidRPr="00B14F28" w:rsidRDefault="0096367A" w:rsidP="00B14F28">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bookmarkStart w:id="0" w:name="_Hlk115180828"/>
            <w:r w:rsidRPr="0096367A">
              <w:rPr>
                <w:rFonts w:ascii="Times New Roman" w:hAnsi="Times New Roman" w:cs="Times New Roman"/>
                <w:sz w:val="20"/>
                <w:szCs w:val="20"/>
              </w:rPr>
              <w:t>Cumul de 2 aides départementales</w:t>
            </w:r>
            <w:r>
              <w:rPr>
                <w:rFonts w:ascii="Times New Roman" w:hAnsi="Times New Roman" w:cs="Times New Roman"/>
                <w:sz w:val="20"/>
                <w:szCs w:val="20"/>
              </w:rPr>
              <w:t xml:space="preserve"> possible dans la limite </w:t>
            </w:r>
            <w:r w:rsidR="004D2E43">
              <w:rPr>
                <w:rFonts w:ascii="Times New Roman" w:hAnsi="Times New Roman" w:cs="Times New Roman"/>
                <w:sz w:val="20"/>
                <w:szCs w:val="20"/>
              </w:rPr>
              <w:t>d’un taux de subvention de 80 %</w:t>
            </w:r>
            <w:bookmarkEnd w:id="0"/>
            <w:r w:rsidR="004D2E43">
              <w:rPr>
                <w:rFonts w:ascii="Times New Roman" w:hAnsi="Times New Roman" w:cs="Times New Roman"/>
                <w:sz w:val="20"/>
                <w:szCs w:val="20"/>
              </w:rPr>
              <w:t> ;</w:t>
            </w:r>
          </w:p>
        </w:tc>
      </w:tr>
      <w:tr w:rsidR="000564B2" w:rsidRPr="0040460F" w14:paraId="17580228" w14:textId="77777777" w:rsidTr="00745527">
        <w:trPr>
          <w:trHeight w:val="2092"/>
        </w:trPr>
        <w:tc>
          <w:tcPr>
            <w:tcW w:w="2371" w:type="dxa"/>
          </w:tcPr>
          <w:p w14:paraId="40B8DFE8" w14:textId="042E88E1" w:rsidR="000564B2" w:rsidRPr="0040460F" w:rsidRDefault="00B14F28" w:rsidP="00745527">
            <w:pPr>
              <w:pStyle w:val="Default"/>
              <w:spacing w:before="120"/>
              <w:rPr>
                <w:rFonts w:ascii="Times New Roman" w:hAnsi="Times New Roman" w:cs="Times New Roman"/>
                <w:sz w:val="20"/>
                <w:szCs w:val="20"/>
              </w:rPr>
            </w:pPr>
            <w:r>
              <w:rPr>
                <w:rFonts w:ascii="Times New Roman" w:hAnsi="Times New Roman" w:cs="Times New Roman"/>
                <w:b/>
                <w:bCs/>
                <w:sz w:val="20"/>
                <w:szCs w:val="20"/>
              </w:rPr>
              <w:t>Engagement des actions</w:t>
            </w:r>
            <w:r w:rsidR="000564B2" w:rsidRPr="0040460F">
              <w:rPr>
                <w:rFonts w:ascii="Times New Roman" w:hAnsi="Times New Roman" w:cs="Times New Roman"/>
                <w:b/>
                <w:bCs/>
                <w:sz w:val="20"/>
                <w:szCs w:val="20"/>
              </w:rPr>
              <w:t xml:space="preserve"> </w:t>
            </w:r>
          </w:p>
        </w:tc>
        <w:tc>
          <w:tcPr>
            <w:tcW w:w="8119" w:type="dxa"/>
          </w:tcPr>
          <w:p w14:paraId="4E605285" w14:textId="6D80C520" w:rsidR="00B14F28" w:rsidRPr="00B14F28" w:rsidRDefault="00B14F28" w:rsidP="00B14F28">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Pr>
                <w:rFonts w:ascii="Times New Roman" w:hAnsi="Times New Roman" w:cs="Times New Roman"/>
                <w:sz w:val="20"/>
                <w:szCs w:val="20"/>
              </w:rPr>
              <w:t>Présentation de c</w:t>
            </w:r>
            <w:r w:rsidRPr="00B14F28">
              <w:rPr>
                <w:rFonts w:ascii="Times New Roman" w:hAnsi="Times New Roman" w:cs="Times New Roman"/>
                <w:sz w:val="20"/>
                <w:szCs w:val="20"/>
              </w:rPr>
              <w:t xml:space="preserve">haque opération </w:t>
            </w:r>
            <w:r>
              <w:rPr>
                <w:rFonts w:ascii="Times New Roman" w:hAnsi="Times New Roman" w:cs="Times New Roman"/>
                <w:sz w:val="20"/>
                <w:szCs w:val="20"/>
              </w:rPr>
              <w:t xml:space="preserve">pour </w:t>
            </w:r>
            <w:r w:rsidRPr="00B14F28">
              <w:rPr>
                <w:rFonts w:ascii="Times New Roman" w:hAnsi="Times New Roman" w:cs="Times New Roman"/>
                <w:sz w:val="20"/>
                <w:szCs w:val="20"/>
              </w:rPr>
              <w:t xml:space="preserve">avis </w:t>
            </w:r>
            <w:r>
              <w:rPr>
                <w:rFonts w:ascii="Times New Roman" w:hAnsi="Times New Roman" w:cs="Times New Roman"/>
                <w:sz w:val="20"/>
                <w:szCs w:val="20"/>
              </w:rPr>
              <w:t>à</w:t>
            </w:r>
            <w:r w:rsidRPr="00B14F28">
              <w:rPr>
                <w:rFonts w:ascii="Times New Roman" w:hAnsi="Times New Roman" w:cs="Times New Roman"/>
                <w:sz w:val="20"/>
                <w:szCs w:val="20"/>
              </w:rPr>
              <w:t xml:space="preserve"> la Commission Territoires puis décision attributive de la part de la Commission permanente du Département. </w:t>
            </w:r>
            <w:r w:rsidR="00642EFD">
              <w:rPr>
                <w:rFonts w:ascii="Times New Roman" w:hAnsi="Times New Roman" w:cs="Times New Roman"/>
                <w:sz w:val="20"/>
                <w:szCs w:val="20"/>
              </w:rPr>
              <w:t xml:space="preserve">Décision notifiée ensuite </w:t>
            </w:r>
            <w:r w:rsidRPr="00B14F28">
              <w:rPr>
                <w:rFonts w:ascii="Times New Roman" w:hAnsi="Times New Roman" w:cs="Times New Roman"/>
                <w:sz w:val="20"/>
                <w:szCs w:val="20"/>
              </w:rPr>
              <w:t>au maître d’ouvrage concerné avec copie à la Communauté pour le suivi du contrat.</w:t>
            </w:r>
          </w:p>
          <w:p w14:paraId="604AA32A" w14:textId="58D4ECEA" w:rsidR="00B14F28" w:rsidRPr="00B14F28" w:rsidRDefault="00642EFD" w:rsidP="00B14F28">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Pr>
                <w:rFonts w:ascii="Times New Roman" w:hAnsi="Times New Roman" w:cs="Times New Roman"/>
                <w:sz w:val="20"/>
                <w:szCs w:val="20"/>
              </w:rPr>
              <w:t xml:space="preserve">Élaboration </w:t>
            </w:r>
            <w:r w:rsidRPr="00B14F28">
              <w:rPr>
                <w:rFonts w:ascii="Times New Roman" w:hAnsi="Times New Roman" w:cs="Times New Roman"/>
                <w:sz w:val="20"/>
                <w:szCs w:val="20"/>
              </w:rPr>
              <w:t xml:space="preserve">par le maître d’ouvrage du projet </w:t>
            </w:r>
            <w:r>
              <w:rPr>
                <w:rFonts w:ascii="Times New Roman" w:hAnsi="Times New Roman" w:cs="Times New Roman"/>
                <w:sz w:val="20"/>
                <w:szCs w:val="20"/>
              </w:rPr>
              <w:t xml:space="preserve">du </w:t>
            </w:r>
            <w:r w:rsidR="00B14F28" w:rsidRPr="00B14F28">
              <w:rPr>
                <w:rFonts w:ascii="Times New Roman" w:hAnsi="Times New Roman" w:cs="Times New Roman"/>
                <w:sz w:val="20"/>
                <w:szCs w:val="20"/>
              </w:rPr>
              <w:t xml:space="preserve">dossier de demande de subvention </w:t>
            </w:r>
            <w:r>
              <w:rPr>
                <w:rFonts w:ascii="Times New Roman" w:hAnsi="Times New Roman" w:cs="Times New Roman"/>
                <w:sz w:val="20"/>
                <w:szCs w:val="20"/>
              </w:rPr>
              <w:t>puis envoi</w:t>
            </w:r>
            <w:r w:rsidR="00B14F28" w:rsidRPr="00B14F28">
              <w:rPr>
                <w:rFonts w:ascii="Times New Roman" w:hAnsi="Times New Roman" w:cs="Times New Roman"/>
                <w:sz w:val="20"/>
                <w:szCs w:val="20"/>
              </w:rPr>
              <w:t xml:space="preserve"> à la Communauté qui le transmet au Département</w:t>
            </w:r>
            <w:r>
              <w:rPr>
                <w:rFonts w:ascii="Times New Roman" w:hAnsi="Times New Roman" w:cs="Times New Roman"/>
                <w:sz w:val="20"/>
                <w:szCs w:val="20"/>
              </w:rPr>
              <w:t xml:space="preserve"> </w:t>
            </w:r>
          </w:p>
          <w:p w14:paraId="0F729968" w14:textId="504E761A" w:rsidR="000564B2" w:rsidRPr="0040460F" w:rsidRDefault="00642EFD" w:rsidP="00B14F28">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Pr>
                <w:rFonts w:ascii="Times New Roman" w:hAnsi="Times New Roman" w:cs="Times New Roman"/>
                <w:sz w:val="20"/>
                <w:szCs w:val="20"/>
              </w:rPr>
              <w:t>Présentation par l</w:t>
            </w:r>
            <w:r w:rsidR="000564B2" w:rsidRPr="0040460F">
              <w:rPr>
                <w:rFonts w:ascii="Times New Roman" w:hAnsi="Times New Roman" w:cs="Times New Roman"/>
                <w:sz w:val="20"/>
                <w:szCs w:val="20"/>
              </w:rPr>
              <w:t xml:space="preserve">a commune </w:t>
            </w:r>
            <w:r>
              <w:rPr>
                <w:rFonts w:ascii="Times New Roman" w:hAnsi="Times New Roman" w:cs="Times New Roman"/>
                <w:sz w:val="20"/>
                <w:szCs w:val="20"/>
              </w:rPr>
              <w:t>d’</w:t>
            </w:r>
            <w:r w:rsidR="000564B2" w:rsidRPr="0040460F">
              <w:rPr>
                <w:rFonts w:ascii="Times New Roman" w:hAnsi="Times New Roman" w:cs="Times New Roman"/>
                <w:sz w:val="20"/>
                <w:szCs w:val="20"/>
              </w:rPr>
              <w:t>une demande de subvention par projet par voie dématérialisée uniquement (</w:t>
            </w:r>
            <w:hyperlink r:id="rId6" w:history="1">
              <w:r w:rsidRPr="00806BC1">
                <w:rPr>
                  <w:rStyle w:val="Lienhypertexte"/>
                  <w:rFonts w:ascii="Times New Roman" w:hAnsi="Times New Roman" w:cs="Times New Roman"/>
                  <w:sz w:val="20"/>
                  <w:szCs w:val="20"/>
                </w:rPr>
                <w:t>habitat@lamayenne.fr</w:t>
              </w:r>
            </w:hyperlink>
            <w:r w:rsidR="000564B2" w:rsidRPr="0040460F">
              <w:rPr>
                <w:rFonts w:ascii="Times New Roman" w:hAnsi="Times New Roman" w:cs="Times New Roman"/>
                <w:sz w:val="20"/>
                <w:szCs w:val="20"/>
              </w:rPr>
              <w:t xml:space="preserve">). </w:t>
            </w:r>
          </w:p>
          <w:p w14:paraId="3A73E141" w14:textId="77777777" w:rsidR="00D76F0B" w:rsidRPr="0040460F" w:rsidRDefault="00D76F0B" w:rsidP="00642EFD">
            <w:pPr>
              <w:pStyle w:val="Default"/>
              <w:numPr>
                <w:ilvl w:val="0"/>
                <w:numId w:val="4"/>
              </w:numPr>
              <w:tabs>
                <w:tab w:val="left" w:pos="353"/>
              </w:tabs>
              <w:spacing w:beforeLines="40" w:before="96" w:afterLines="40" w:after="96"/>
              <w:ind w:left="358" w:right="176" w:hanging="284"/>
              <w:rPr>
                <w:rFonts w:ascii="Times New Roman" w:hAnsi="Times New Roman" w:cs="Times New Roman"/>
                <w:sz w:val="20"/>
                <w:szCs w:val="20"/>
              </w:rPr>
            </w:pPr>
            <w:r w:rsidRPr="0040460F">
              <w:rPr>
                <w:rFonts w:ascii="Times New Roman" w:hAnsi="Times New Roman" w:cs="Times New Roman"/>
                <w:sz w:val="20"/>
                <w:szCs w:val="20"/>
              </w:rPr>
              <w:t>Contenu de la demande de financement (possibilité de télécharger un guide de description du projet) :</w:t>
            </w:r>
          </w:p>
          <w:p w14:paraId="255EC45D" w14:textId="77777777" w:rsidR="00B14F28" w:rsidRPr="00B14F28" w:rsidRDefault="00B14F28" w:rsidP="00EC1FC4">
            <w:pPr>
              <w:pStyle w:val="Default"/>
              <w:numPr>
                <w:ilvl w:val="0"/>
                <w:numId w:val="14"/>
              </w:numPr>
              <w:tabs>
                <w:tab w:val="left" w:pos="353"/>
              </w:tabs>
              <w:ind w:left="714" w:right="176" w:hanging="357"/>
              <w:rPr>
                <w:rFonts w:ascii="Times New Roman" w:hAnsi="Times New Roman" w:cs="Times New Roman"/>
                <w:sz w:val="20"/>
                <w:szCs w:val="20"/>
              </w:rPr>
            </w:pPr>
            <w:r w:rsidRPr="00B14F28">
              <w:rPr>
                <w:rFonts w:ascii="Times New Roman" w:hAnsi="Times New Roman" w:cs="Times New Roman"/>
                <w:sz w:val="20"/>
                <w:szCs w:val="20"/>
              </w:rPr>
              <w:t>Délibération du Conseil municipal approuvant l’opération et sollicitant l'aide du Département ;</w:t>
            </w:r>
          </w:p>
          <w:p w14:paraId="3F9FE6EC" w14:textId="77777777" w:rsidR="00B14F28" w:rsidRPr="00B14F28" w:rsidRDefault="00B14F28" w:rsidP="00EC1FC4">
            <w:pPr>
              <w:pStyle w:val="Default"/>
              <w:numPr>
                <w:ilvl w:val="0"/>
                <w:numId w:val="14"/>
              </w:numPr>
              <w:tabs>
                <w:tab w:val="left" w:pos="353"/>
              </w:tabs>
              <w:ind w:left="714" w:right="176" w:hanging="357"/>
              <w:rPr>
                <w:rFonts w:ascii="Times New Roman" w:hAnsi="Times New Roman" w:cs="Times New Roman"/>
                <w:sz w:val="20"/>
                <w:szCs w:val="20"/>
              </w:rPr>
            </w:pPr>
            <w:r w:rsidRPr="00B14F28">
              <w:rPr>
                <w:rFonts w:ascii="Times New Roman" w:hAnsi="Times New Roman" w:cs="Times New Roman"/>
                <w:sz w:val="20"/>
                <w:szCs w:val="20"/>
              </w:rPr>
              <w:t>Description du projet (Formulaire prévu à cet effet) ;</w:t>
            </w:r>
          </w:p>
          <w:p w14:paraId="746ABBFB" w14:textId="77777777" w:rsidR="00B14F28" w:rsidRPr="00B14F28" w:rsidRDefault="00B14F28" w:rsidP="00EC1FC4">
            <w:pPr>
              <w:pStyle w:val="Default"/>
              <w:numPr>
                <w:ilvl w:val="0"/>
                <w:numId w:val="14"/>
              </w:numPr>
              <w:tabs>
                <w:tab w:val="left" w:pos="353"/>
              </w:tabs>
              <w:ind w:left="714" w:right="176" w:hanging="357"/>
              <w:rPr>
                <w:rFonts w:ascii="Times New Roman" w:hAnsi="Times New Roman" w:cs="Times New Roman"/>
                <w:sz w:val="20"/>
                <w:szCs w:val="20"/>
              </w:rPr>
            </w:pPr>
            <w:r w:rsidRPr="00B14F28">
              <w:rPr>
                <w:rFonts w:ascii="Times New Roman" w:hAnsi="Times New Roman" w:cs="Times New Roman"/>
                <w:sz w:val="20"/>
                <w:szCs w:val="20"/>
              </w:rPr>
              <w:t>Estimation détaillée du coût du projet ;</w:t>
            </w:r>
          </w:p>
          <w:p w14:paraId="3DBA7AA1" w14:textId="77777777" w:rsidR="00B14F28" w:rsidRPr="00B14F28" w:rsidRDefault="00B14F28" w:rsidP="00EC1FC4">
            <w:pPr>
              <w:pStyle w:val="Default"/>
              <w:numPr>
                <w:ilvl w:val="0"/>
                <w:numId w:val="14"/>
              </w:numPr>
              <w:tabs>
                <w:tab w:val="left" w:pos="353"/>
              </w:tabs>
              <w:ind w:left="714" w:right="176" w:hanging="357"/>
              <w:rPr>
                <w:rFonts w:ascii="Times New Roman" w:hAnsi="Times New Roman" w:cs="Times New Roman"/>
                <w:sz w:val="20"/>
                <w:szCs w:val="20"/>
              </w:rPr>
            </w:pPr>
            <w:r w:rsidRPr="00B14F28">
              <w:rPr>
                <w:rFonts w:ascii="Times New Roman" w:hAnsi="Times New Roman" w:cs="Times New Roman"/>
                <w:sz w:val="20"/>
                <w:szCs w:val="20"/>
              </w:rPr>
              <w:t>Calendrier prévisionnel de réalisation ;</w:t>
            </w:r>
          </w:p>
          <w:p w14:paraId="35FF4270" w14:textId="77777777" w:rsidR="00B14F28" w:rsidRPr="00B14F28" w:rsidRDefault="00B14F28" w:rsidP="00EC1FC4">
            <w:pPr>
              <w:pStyle w:val="Default"/>
              <w:numPr>
                <w:ilvl w:val="0"/>
                <w:numId w:val="14"/>
              </w:numPr>
              <w:tabs>
                <w:tab w:val="left" w:pos="353"/>
              </w:tabs>
              <w:ind w:left="714" w:right="176" w:hanging="357"/>
              <w:rPr>
                <w:rFonts w:ascii="Times New Roman" w:hAnsi="Times New Roman" w:cs="Times New Roman"/>
                <w:sz w:val="20"/>
                <w:szCs w:val="20"/>
              </w:rPr>
            </w:pPr>
            <w:r w:rsidRPr="00B14F28">
              <w:rPr>
                <w:rFonts w:ascii="Times New Roman" w:hAnsi="Times New Roman" w:cs="Times New Roman"/>
                <w:sz w:val="20"/>
                <w:szCs w:val="20"/>
              </w:rPr>
              <w:t>Avis de l’EPCI ;</w:t>
            </w:r>
          </w:p>
          <w:p w14:paraId="70FEE542" w14:textId="3D6250A6" w:rsidR="00B14F28" w:rsidRPr="00642EFD" w:rsidRDefault="00B14F28" w:rsidP="00EC1FC4">
            <w:pPr>
              <w:pStyle w:val="Default"/>
              <w:numPr>
                <w:ilvl w:val="0"/>
                <w:numId w:val="14"/>
              </w:numPr>
              <w:tabs>
                <w:tab w:val="left" w:pos="353"/>
              </w:tabs>
              <w:ind w:left="714" w:right="176" w:hanging="357"/>
              <w:rPr>
                <w:rFonts w:ascii="Times New Roman" w:hAnsi="Times New Roman" w:cs="Times New Roman"/>
                <w:sz w:val="20"/>
                <w:szCs w:val="20"/>
              </w:rPr>
            </w:pPr>
            <w:r w:rsidRPr="00642EFD">
              <w:rPr>
                <w:rFonts w:ascii="Times New Roman" w:hAnsi="Times New Roman" w:cs="Times New Roman"/>
                <w:sz w:val="20"/>
                <w:szCs w:val="20"/>
              </w:rPr>
              <w:t>Délibération communautaire si changement précisant le montant et le taux de la subvention octroyée.</w:t>
            </w:r>
          </w:p>
          <w:p w14:paraId="17085E92" w14:textId="77777777" w:rsidR="00B14F28" w:rsidRPr="00B14F28" w:rsidRDefault="00B14F28" w:rsidP="00B14F28">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sidRPr="00B14F28">
              <w:rPr>
                <w:rFonts w:ascii="Times New Roman" w:hAnsi="Times New Roman" w:cs="Times New Roman"/>
                <w:sz w:val="20"/>
                <w:szCs w:val="20"/>
              </w:rPr>
              <w:t>Les dépôts des demandes de subvention pour la première période seront possibles jusqu’au 1er décembre 2025 inclus. La seconde période sera quant à elle officiellement lancée au 1er janvier 2026.</w:t>
            </w:r>
          </w:p>
          <w:p w14:paraId="3720CF32" w14:textId="77777777" w:rsidR="00B14F28" w:rsidRPr="00642EFD" w:rsidRDefault="00B14F28" w:rsidP="00B14F28">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sidRPr="00B14F28">
              <w:rPr>
                <w:rFonts w:ascii="Times New Roman" w:hAnsi="Times New Roman" w:cs="Times New Roman"/>
                <w:sz w:val="20"/>
                <w:szCs w:val="20"/>
              </w:rPr>
              <w:t xml:space="preserve">L’ensemble des pièces sera à fournir par voie dématérialisée uniquement à l’adresse </w:t>
            </w:r>
            <w:r w:rsidRPr="00642EFD">
              <w:rPr>
                <w:rFonts w:ascii="Times New Roman" w:hAnsi="Times New Roman" w:cs="Times New Roman"/>
                <w:sz w:val="20"/>
                <w:szCs w:val="20"/>
              </w:rPr>
              <w:t xml:space="preserve">suivante : </w:t>
            </w:r>
            <w:hyperlink r:id="rId7" w:history="1">
              <w:r w:rsidRPr="00642EFD">
                <w:rPr>
                  <w:rFonts w:ascii="Times New Roman" w:hAnsi="Times New Roman" w:cs="Times New Roman"/>
                  <w:sz w:val="20"/>
                  <w:szCs w:val="20"/>
                </w:rPr>
                <w:t>habitat@lamayenne.fr</w:t>
              </w:r>
            </w:hyperlink>
            <w:r w:rsidRPr="00642EFD">
              <w:rPr>
                <w:rFonts w:ascii="Times New Roman" w:hAnsi="Times New Roman" w:cs="Times New Roman"/>
                <w:sz w:val="20"/>
                <w:szCs w:val="20"/>
              </w:rPr>
              <w:t>.</w:t>
            </w:r>
          </w:p>
          <w:p w14:paraId="0F56FDEC" w14:textId="211377A0" w:rsidR="001B227C" w:rsidRPr="00642EFD" w:rsidRDefault="00B14F28" w:rsidP="00642EFD">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sidRPr="00B14F28">
              <w:rPr>
                <w:rFonts w:ascii="Times New Roman" w:hAnsi="Times New Roman" w:cs="Times New Roman"/>
                <w:sz w:val="20"/>
                <w:szCs w:val="20"/>
              </w:rPr>
              <w:t>Il est demandé à chaque Communauté de veiller à la consommation de l’enveloppe et d’assurer la bonne gestion financière de cette dernière.</w:t>
            </w:r>
          </w:p>
        </w:tc>
      </w:tr>
      <w:tr w:rsidR="00642EFD" w:rsidRPr="0040460F" w14:paraId="6CF3980F" w14:textId="77777777" w:rsidTr="00745527">
        <w:trPr>
          <w:trHeight w:val="2092"/>
        </w:trPr>
        <w:tc>
          <w:tcPr>
            <w:tcW w:w="2371" w:type="dxa"/>
          </w:tcPr>
          <w:p w14:paraId="6F5CBF1D" w14:textId="44D4AB0F" w:rsidR="00642EFD" w:rsidRDefault="00642EFD" w:rsidP="00745527">
            <w:pPr>
              <w:pStyle w:val="Default"/>
              <w:spacing w:before="120"/>
              <w:rPr>
                <w:rFonts w:ascii="Times New Roman" w:hAnsi="Times New Roman" w:cs="Times New Roman"/>
                <w:b/>
                <w:bCs/>
                <w:sz w:val="20"/>
                <w:szCs w:val="20"/>
              </w:rPr>
            </w:pPr>
            <w:r>
              <w:rPr>
                <w:rFonts w:ascii="Times New Roman" w:hAnsi="Times New Roman" w:cs="Times New Roman"/>
                <w:b/>
                <w:bCs/>
                <w:sz w:val="20"/>
                <w:szCs w:val="20"/>
              </w:rPr>
              <w:t>Versement de l’aide</w:t>
            </w:r>
          </w:p>
        </w:tc>
        <w:tc>
          <w:tcPr>
            <w:tcW w:w="8119" w:type="dxa"/>
          </w:tcPr>
          <w:p w14:paraId="410636D9" w14:textId="7B825F3E" w:rsidR="00642EFD" w:rsidRPr="00642EFD" w:rsidRDefault="00642EFD" w:rsidP="00642EFD">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Pr>
                <w:rFonts w:ascii="Times New Roman" w:hAnsi="Times New Roman" w:cs="Times New Roman"/>
                <w:sz w:val="20"/>
                <w:szCs w:val="20"/>
              </w:rPr>
              <w:t>Transmission par l</w:t>
            </w:r>
            <w:r w:rsidRPr="00642EFD">
              <w:rPr>
                <w:rFonts w:ascii="Times New Roman" w:hAnsi="Times New Roman" w:cs="Times New Roman"/>
                <w:sz w:val="20"/>
                <w:szCs w:val="20"/>
              </w:rPr>
              <w:t xml:space="preserve">a Communauté au Département </w:t>
            </w:r>
            <w:r>
              <w:rPr>
                <w:rFonts w:ascii="Times New Roman" w:hAnsi="Times New Roman" w:cs="Times New Roman"/>
                <w:sz w:val="20"/>
                <w:szCs w:val="20"/>
              </w:rPr>
              <w:t xml:space="preserve">de </w:t>
            </w:r>
            <w:r w:rsidRPr="00642EFD">
              <w:rPr>
                <w:rFonts w:ascii="Times New Roman" w:hAnsi="Times New Roman" w:cs="Times New Roman"/>
                <w:sz w:val="20"/>
                <w:szCs w:val="20"/>
              </w:rPr>
              <w:t>la demande du maître d’ouvrage justifiant l’avancement de l’opération</w:t>
            </w:r>
            <w:r>
              <w:rPr>
                <w:rFonts w:ascii="Times New Roman" w:hAnsi="Times New Roman" w:cs="Times New Roman"/>
                <w:sz w:val="20"/>
                <w:szCs w:val="20"/>
              </w:rPr>
              <w:t xml:space="preserve"> ; </w:t>
            </w:r>
            <w:r w:rsidRPr="00642EFD">
              <w:rPr>
                <w:rFonts w:ascii="Times New Roman" w:hAnsi="Times New Roman" w:cs="Times New Roman"/>
                <w:sz w:val="20"/>
                <w:szCs w:val="20"/>
              </w:rPr>
              <w:t xml:space="preserve">paiement de la subvention départementale effectué sur la base du coût hors taxe. </w:t>
            </w:r>
            <w:r>
              <w:rPr>
                <w:rFonts w:ascii="Times New Roman" w:hAnsi="Times New Roman" w:cs="Times New Roman"/>
                <w:sz w:val="20"/>
                <w:szCs w:val="20"/>
              </w:rPr>
              <w:t>D</w:t>
            </w:r>
            <w:r w:rsidRPr="00642EFD">
              <w:rPr>
                <w:rFonts w:ascii="Times New Roman" w:hAnsi="Times New Roman" w:cs="Times New Roman"/>
                <w:sz w:val="20"/>
                <w:szCs w:val="20"/>
              </w:rPr>
              <w:t xml:space="preserve">eux versements maximums par projet dans la limite d’un an maximum pour commencer les travaux. </w:t>
            </w:r>
            <w:r>
              <w:rPr>
                <w:rFonts w:ascii="Times New Roman" w:hAnsi="Times New Roman" w:cs="Times New Roman"/>
                <w:sz w:val="20"/>
                <w:szCs w:val="20"/>
              </w:rPr>
              <w:t>P</w:t>
            </w:r>
            <w:r w:rsidRPr="00642EFD">
              <w:rPr>
                <w:rFonts w:ascii="Times New Roman" w:hAnsi="Times New Roman" w:cs="Times New Roman"/>
                <w:sz w:val="20"/>
                <w:szCs w:val="20"/>
              </w:rPr>
              <w:t>ossib</w:t>
            </w:r>
            <w:r>
              <w:rPr>
                <w:rFonts w:ascii="Times New Roman" w:hAnsi="Times New Roman" w:cs="Times New Roman"/>
                <w:sz w:val="20"/>
                <w:szCs w:val="20"/>
              </w:rPr>
              <w:t>ilité</w:t>
            </w:r>
            <w:r w:rsidRPr="00642EFD">
              <w:rPr>
                <w:rFonts w:ascii="Times New Roman" w:hAnsi="Times New Roman" w:cs="Times New Roman"/>
                <w:sz w:val="20"/>
                <w:szCs w:val="20"/>
              </w:rPr>
              <w:t xml:space="preserve"> de proroger cette limite d’un an. Passé ce délai, l’aide devient cependant caduque.</w:t>
            </w:r>
          </w:p>
          <w:p w14:paraId="267308BD" w14:textId="77777777" w:rsidR="00642EFD" w:rsidRPr="00642EFD" w:rsidRDefault="00642EFD" w:rsidP="00642EFD">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sidRPr="00642EFD">
              <w:rPr>
                <w:rFonts w:ascii="Times New Roman" w:hAnsi="Times New Roman" w:cs="Times New Roman"/>
                <w:sz w:val="20"/>
                <w:szCs w:val="20"/>
              </w:rPr>
              <w:t xml:space="preserve">Est proposé la répartition suivante : </w:t>
            </w:r>
          </w:p>
          <w:p w14:paraId="2622EF56" w14:textId="77777777" w:rsidR="00642EFD" w:rsidRPr="00642EFD" w:rsidRDefault="00642EFD" w:rsidP="00642EFD">
            <w:pPr>
              <w:numPr>
                <w:ilvl w:val="0"/>
                <w:numId w:val="11"/>
              </w:numPr>
              <w:jc w:val="both"/>
              <w:rPr>
                <w:rFonts w:ascii="Times New Roman" w:hAnsi="Times New Roman"/>
                <w:sz w:val="20"/>
                <w:szCs w:val="20"/>
              </w:rPr>
            </w:pPr>
            <w:r w:rsidRPr="00642EFD">
              <w:rPr>
                <w:rFonts w:ascii="Times New Roman" w:hAnsi="Times New Roman"/>
                <w:sz w:val="20"/>
                <w:szCs w:val="20"/>
              </w:rPr>
              <w:t>50 % sur production d’une attestation de début de travaux et d’un état récapitulatif des dépenses réglées au minimum à hauteur de 30 % du coût prévisionnel HT du projet, visé par la ou les personnes habilitées à cet effet ;</w:t>
            </w:r>
          </w:p>
          <w:p w14:paraId="5094FB9B" w14:textId="5287DEF9" w:rsidR="00642EFD" w:rsidRPr="00EC1FC4" w:rsidRDefault="00642EFD" w:rsidP="00EC1FC4">
            <w:pPr>
              <w:numPr>
                <w:ilvl w:val="0"/>
                <w:numId w:val="11"/>
              </w:numPr>
              <w:jc w:val="both"/>
              <w:rPr>
                <w:rFonts w:ascii="Times New Roman" w:hAnsi="Times New Roman"/>
                <w:sz w:val="20"/>
                <w:szCs w:val="20"/>
              </w:rPr>
            </w:pPr>
            <w:r w:rsidRPr="00642EFD">
              <w:rPr>
                <w:rFonts w:ascii="Times New Roman" w:hAnsi="Times New Roman"/>
                <w:sz w:val="20"/>
                <w:szCs w:val="20"/>
              </w:rPr>
              <w:t>50 % sur production d’une attestation de fin de travaux et d’un décompte détaillé des dépenses réalisées en investissement visé par la ou les personnes habilitées à cet effet.</w:t>
            </w:r>
          </w:p>
          <w:p w14:paraId="7E853D86" w14:textId="0B6C2B29" w:rsidR="00642EFD" w:rsidRPr="00EC1FC4" w:rsidRDefault="00642EFD" w:rsidP="00EC1FC4">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sidRPr="00EC1FC4">
              <w:rPr>
                <w:rFonts w:ascii="Times New Roman" w:hAnsi="Times New Roman" w:cs="Times New Roman"/>
                <w:sz w:val="20"/>
                <w:szCs w:val="20"/>
              </w:rPr>
              <w:t>Décompte avec imputations budgétaires, numéros et dates de mandats, nature, destination des dépenses et leur coût HT ;</w:t>
            </w:r>
          </w:p>
          <w:p w14:paraId="541CB90A" w14:textId="51EE101D" w:rsidR="00642EFD" w:rsidRDefault="00642EFD" w:rsidP="00EC1FC4">
            <w:pPr>
              <w:pStyle w:val="Default"/>
              <w:numPr>
                <w:ilvl w:val="0"/>
                <w:numId w:val="4"/>
              </w:numPr>
              <w:tabs>
                <w:tab w:val="left" w:pos="353"/>
              </w:tabs>
              <w:spacing w:beforeLines="40" w:before="96" w:afterLines="40" w:after="96"/>
              <w:ind w:left="355" w:right="176" w:hanging="284"/>
              <w:rPr>
                <w:rFonts w:ascii="Times New Roman" w:hAnsi="Times New Roman" w:cs="Times New Roman"/>
                <w:sz w:val="20"/>
                <w:szCs w:val="20"/>
              </w:rPr>
            </w:pPr>
            <w:r w:rsidRPr="00EC1FC4">
              <w:rPr>
                <w:rFonts w:ascii="Times New Roman" w:hAnsi="Times New Roman" w:cs="Times New Roman"/>
                <w:sz w:val="20"/>
                <w:szCs w:val="20"/>
              </w:rPr>
              <w:t>En cas de dépense inférieure au montant prévisionnel de l’investissement, le paiement s’effectuera au prorata du coût total HT réalisé.</w:t>
            </w:r>
          </w:p>
        </w:tc>
      </w:tr>
    </w:tbl>
    <w:p w14:paraId="08AE7274" w14:textId="127D8F41" w:rsidR="00EC1FC4" w:rsidRPr="00EC1FC4" w:rsidRDefault="00EC1FC4" w:rsidP="00B14F28">
      <w:pPr>
        <w:pStyle w:val="NormalWeb"/>
        <w:spacing w:after="0" w:afterAutospacing="0"/>
        <w:jc w:val="both"/>
        <w:rPr>
          <w:sz w:val="2"/>
          <w:szCs w:val="2"/>
        </w:rPr>
      </w:pPr>
    </w:p>
    <w:sectPr w:rsidR="00EC1FC4" w:rsidRPr="00EC1FC4" w:rsidSect="00582391">
      <w:pgSz w:w="11906" w:h="16838"/>
      <w:pgMar w:top="709" w:right="707"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4BD"/>
    <w:multiLevelType w:val="hybridMultilevel"/>
    <w:tmpl w:val="C856129A"/>
    <w:lvl w:ilvl="0" w:tplc="2006F9F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8136702"/>
    <w:multiLevelType w:val="hybridMultilevel"/>
    <w:tmpl w:val="7C82F1E4"/>
    <w:lvl w:ilvl="0" w:tplc="0A3863AE">
      <w:start w:val="16"/>
      <w:numFmt w:val="bullet"/>
      <w:lvlText w:val="-"/>
      <w:lvlJc w:val="left"/>
      <w:pPr>
        <w:ind w:left="720" w:hanging="360"/>
      </w:pPr>
      <w:rPr>
        <w:rFonts w:ascii="Book Antiqua" w:eastAsiaTheme="minorHAnsi" w:hAnsi="Book Antiqua"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9249D8"/>
    <w:multiLevelType w:val="hybridMultilevel"/>
    <w:tmpl w:val="ECDC55A0"/>
    <w:lvl w:ilvl="0" w:tplc="9BD6CF3A">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793FC0"/>
    <w:multiLevelType w:val="hybridMultilevel"/>
    <w:tmpl w:val="865AB64A"/>
    <w:lvl w:ilvl="0" w:tplc="9BD6CF3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9C1A86"/>
    <w:multiLevelType w:val="hybridMultilevel"/>
    <w:tmpl w:val="8646BBD6"/>
    <w:lvl w:ilvl="0" w:tplc="040C0001">
      <w:start w:val="1"/>
      <w:numFmt w:val="bullet"/>
      <w:lvlText w:val=""/>
      <w:lvlJc w:val="left"/>
      <w:pPr>
        <w:ind w:left="1335" w:hanging="360"/>
      </w:pPr>
      <w:rPr>
        <w:rFonts w:ascii="Symbol" w:hAnsi="Symbol"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5" w15:restartNumberingAfterBreak="0">
    <w:nsid w:val="1E945A79"/>
    <w:multiLevelType w:val="hybridMultilevel"/>
    <w:tmpl w:val="5CBC3140"/>
    <w:lvl w:ilvl="0" w:tplc="704818EC">
      <w:start w:val="1"/>
      <w:numFmt w:val="bullet"/>
      <w:lvlText w:val="-"/>
      <w:lvlJc w:val="left"/>
      <w:pPr>
        <w:ind w:left="1080" w:hanging="360"/>
      </w:pPr>
      <w:rPr>
        <w:rFonts w:ascii="Trebuchet MS" w:hAnsi="Trebuchet M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FB403F6"/>
    <w:multiLevelType w:val="hybridMultilevel"/>
    <w:tmpl w:val="77346BA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7EC4CAF0">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5D1C5D"/>
    <w:multiLevelType w:val="hybridMultilevel"/>
    <w:tmpl w:val="86A04306"/>
    <w:lvl w:ilvl="0" w:tplc="E04ED25A">
      <w:numFmt w:val="bullet"/>
      <w:lvlText w:val="-"/>
      <w:lvlJc w:val="left"/>
      <w:pPr>
        <w:tabs>
          <w:tab w:val="num" w:pos="720"/>
        </w:tabs>
        <w:ind w:left="720" w:hanging="360"/>
      </w:pPr>
      <w:rPr>
        <w:rFonts w:ascii="Times New Roman" w:eastAsia="Times New Roman" w:hAnsi="Times New Roman" w:cs="Times New Roman" w:hint="default"/>
      </w:rPr>
    </w:lvl>
    <w:lvl w:ilvl="1" w:tplc="993ABCD0">
      <w:numFmt w:val="bullet"/>
      <w:lvlText w:val=""/>
      <w:lvlJc w:val="left"/>
      <w:pPr>
        <w:ind w:left="1440" w:hanging="360"/>
      </w:pPr>
      <w:rPr>
        <w:rFonts w:ascii="Wingdings" w:eastAsia="Times New Roman" w:hAnsi="Wingdings" w:cs="Times New Roman"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053C55"/>
    <w:multiLevelType w:val="hybridMultilevel"/>
    <w:tmpl w:val="A1247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172D8D"/>
    <w:multiLevelType w:val="hybridMultilevel"/>
    <w:tmpl w:val="D212991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E25444"/>
    <w:multiLevelType w:val="hybridMultilevel"/>
    <w:tmpl w:val="5B04016E"/>
    <w:lvl w:ilvl="0" w:tplc="3370C880">
      <w:start w:val="1"/>
      <w:numFmt w:val="bullet"/>
      <w:lvlText w:val="→"/>
      <w:lvlJc w:val="left"/>
      <w:pPr>
        <w:ind w:left="1571" w:hanging="360"/>
      </w:pPr>
      <w:rPr>
        <w:rFonts w:ascii="Times New Roman" w:hAnsi="Times New Roman"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630866FE"/>
    <w:multiLevelType w:val="hybridMultilevel"/>
    <w:tmpl w:val="CA76C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CD2FDE"/>
    <w:multiLevelType w:val="hybridMultilevel"/>
    <w:tmpl w:val="4E9AE0D6"/>
    <w:lvl w:ilvl="0" w:tplc="B0BED60A">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8C70B6"/>
    <w:multiLevelType w:val="hybridMultilevel"/>
    <w:tmpl w:val="CD5CCE90"/>
    <w:lvl w:ilvl="0" w:tplc="7EC4CAF0">
      <w:start w:val="1"/>
      <w:numFmt w:val="bullet"/>
      <w:lvlText w:val=""/>
      <w:lvlJc w:val="left"/>
      <w:pPr>
        <w:ind w:left="789" w:hanging="360"/>
      </w:pPr>
      <w:rPr>
        <w:rFonts w:ascii="Wingdings" w:hAnsi="Wingdings" w:hint="default"/>
      </w:rPr>
    </w:lvl>
    <w:lvl w:ilvl="1" w:tplc="19D682D0">
      <w:numFmt w:val="bullet"/>
      <w:lvlText w:val=""/>
      <w:lvlJc w:val="left"/>
      <w:pPr>
        <w:ind w:left="1509" w:hanging="360"/>
      </w:pPr>
      <w:rPr>
        <w:rFonts w:ascii="Book Antiqua" w:eastAsiaTheme="minorHAnsi" w:hAnsi="Book Antiqua" w:cs="Book Antiqua"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num w:numId="1" w16cid:durableId="644355513">
    <w:abstractNumId w:val="9"/>
  </w:num>
  <w:num w:numId="2" w16cid:durableId="1689480746">
    <w:abstractNumId w:val="5"/>
  </w:num>
  <w:num w:numId="3" w16cid:durableId="1399552431">
    <w:abstractNumId w:val="1"/>
  </w:num>
  <w:num w:numId="4" w16cid:durableId="63719032">
    <w:abstractNumId w:val="6"/>
  </w:num>
  <w:num w:numId="5" w16cid:durableId="242106583">
    <w:abstractNumId w:val="13"/>
  </w:num>
  <w:num w:numId="6" w16cid:durableId="152112823">
    <w:abstractNumId w:val="0"/>
  </w:num>
  <w:num w:numId="7" w16cid:durableId="1597640611">
    <w:abstractNumId w:val="12"/>
  </w:num>
  <w:num w:numId="8" w16cid:durableId="118959890">
    <w:abstractNumId w:val="4"/>
  </w:num>
  <w:num w:numId="9" w16cid:durableId="542638397">
    <w:abstractNumId w:val="10"/>
  </w:num>
  <w:num w:numId="10" w16cid:durableId="1853521585">
    <w:abstractNumId w:val="11"/>
  </w:num>
  <w:num w:numId="11" w16cid:durableId="2101681647">
    <w:abstractNumId w:val="7"/>
  </w:num>
  <w:num w:numId="12" w16cid:durableId="1540973785">
    <w:abstractNumId w:val="8"/>
  </w:num>
  <w:num w:numId="13" w16cid:durableId="1776438865">
    <w:abstractNumId w:val="3"/>
  </w:num>
  <w:num w:numId="14" w16cid:durableId="839394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4B2"/>
    <w:rsid w:val="00050A31"/>
    <w:rsid w:val="000564B2"/>
    <w:rsid w:val="000A68DE"/>
    <w:rsid w:val="000B3792"/>
    <w:rsid w:val="000D288F"/>
    <w:rsid w:val="000D45BB"/>
    <w:rsid w:val="001B227C"/>
    <w:rsid w:val="001C0F01"/>
    <w:rsid w:val="002A3F62"/>
    <w:rsid w:val="00302DEF"/>
    <w:rsid w:val="00313AA7"/>
    <w:rsid w:val="003C5148"/>
    <w:rsid w:val="003F7405"/>
    <w:rsid w:val="0040460F"/>
    <w:rsid w:val="0043225E"/>
    <w:rsid w:val="004B6E67"/>
    <w:rsid w:val="004D2E43"/>
    <w:rsid w:val="004E60F2"/>
    <w:rsid w:val="00577305"/>
    <w:rsid w:val="00582391"/>
    <w:rsid w:val="005B3414"/>
    <w:rsid w:val="00642EFD"/>
    <w:rsid w:val="0067122D"/>
    <w:rsid w:val="00697B87"/>
    <w:rsid w:val="006D32E4"/>
    <w:rsid w:val="00745527"/>
    <w:rsid w:val="007A76D6"/>
    <w:rsid w:val="007D3FAF"/>
    <w:rsid w:val="00847360"/>
    <w:rsid w:val="008A4A69"/>
    <w:rsid w:val="0096367A"/>
    <w:rsid w:val="00983756"/>
    <w:rsid w:val="009F2E3D"/>
    <w:rsid w:val="00A02722"/>
    <w:rsid w:val="00B14F28"/>
    <w:rsid w:val="00B56649"/>
    <w:rsid w:val="00B83E53"/>
    <w:rsid w:val="00BF3629"/>
    <w:rsid w:val="00C64832"/>
    <w:rsid w:val="00C716D4"/>
    <w:rsid w:val="00C74149"/>
    <w:rsid w:val="00CD2C9C"/>
    <w:rsid w:val="00CE0FF0"/>
    <w:rsid w:val="00D067E9"/>
    <w:rsid w:val="00D17CAF"/>
    <w:rsid w:val="00D36C35"/>
    <w:rsid w:val="00D7662C"/>
    <w:rsid w:val="00D76F0B"/>
    <w:rsid w:val="00D97B6E"/>
    <w:rsid w:val="00E60DFE"/>
    <w:rsid w:val="00E711FE"/>
    <w:rsid w:val="00EA2517"/>
    <w:rsid w:val="00EC1FC4"/>
    <w:rsid w:val="00EC4393"/>
    <w:rsid w:val="00F11DB0"/>
    <w:rsid w:val="00F97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5572"/>
  <w15:chartTrackingRefBased/>
  <w15:docId w15:val="{0D1613D1-5016-4829-B544-4FA6A921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22"/>
    <w:pPr>
      <w:spacing w:after="0" w:line="240" w:lineRule="auto"/>
    </w:pPr>
    <w:rPr>
      <w:rFonts w:ascii="Calibri" w:hAnsi="Calibri"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0564B2"/>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0564B2"/>
    <w:pPr>
      <w:autoSpaceDE w:val="0"/>
      <w:autoSpaceDN w:val="0"/>
      <w:adjustRightInd w:val="0"/>
      <w:spacing w:after="0" w:line="240" w:lineRule="auto"/>
    </w:pPr>
    <w:rPr>
      <w:rFonts w:ascii="Book Antiqua" w:hAnsi="Book Antiqua" w:cs="Book Antiqua"/>
      <w:color w:val="000000"/>
      <w:sz w:val="24"/>
      <w:szCs w:val="24"/>
    </w:rPr>
  </w:style>
  <w:style w:type="character" w:customStyle="1" w:styleId="hgkelc">
    <w:name w:val="hgkelc"/>
    <w:basedOn w:val="Policepardfaut"/>
    <w:rsid w:val="004B6E67"/>
  </w:style>
  <w:style w:type="character" w:styleId="Lienhypertexte">
    <w:name w:val="Hyperlink"/>
    <w:basedOn w:val="Policepardfaut"/>
    <w:uiPriority w:val="99"/>
    <w:unhideWhenUsed/>
    <w:rsid w:val="00F975A2"/>
    <w:rPr>
      <w:color w:val="0563C1" w:themeColor="hyperlink"/>
      <w:u w:val="single"/>
    </w:rPr>
  </w:style>
  <w:style w:type="paragraph" w:styleId="Paragraphedeliste">
    <w:name w:val="List Paragraph"/>
    <w:basedOn w:val="Normal"/>
    <w:uiPriority w:val="34"/>
    <w:qFormat/>
    <w:rsid w:val="00B14F28"/>
    <w:pPr>
      <w:spacing w:after="160" w:line="259" w:lineRule="auto"/>
      <w:ind w:left="720"/>
      <w:contextualSpacing/>
    </w:pPr>
    <w:rPr>
      <w:rFonts w:eastAsia="Calibri" w:cs="Times New Roman"/>
    </w:rPr>
  </w:style>
  <w:style w:type="character" w:styleId="Mentionnonrsolue">
    <w:name w:val="Unresolved Mention"/>
    <w:basedOn w:val="Policepardfaut"/>
    <w:uiPriority w:val="99"/>
    <w:semiHidden/>
    <w:unhideWhenUsed/>
    <w:rsid w:val="00642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8712">
      <w:bodyDiv w:val="1"/>
      <w:marLeft w:val="0"/>
      <w:marRight w:val="0"/>
      <w:marTop w:val="0"/>
      <w:marBottom w:val="0"/>
      <w:divBdr>
        <w:top w:val="none" w:sz="0" w:space="0" w:color="auto"/>
        <w:left w:val="none" w:sz="0" w:space="0" w:color="auto"/>
        <w:bottom w:val="none" w:sz="0" w:space="0" w:color="auto"/>
        <w:right w:val="none" w:sz="0" w:space="0" w:color="auto"/>
      </w:divBdr>
    </w:div>
    <w:div w:id="489256794">
      <w:bodyDiv w:val="1"/>
      <w:marLeft w:val="0"/>
      <w:marRight w:val="0"/>
      <w:marTop w:val="0"/>
      <w:marBottom w:val="0"/>
      <w:divBdr>
        <w:top w:val="none" w:sz="0" w:space="0" w:color="auto"/>
        <w:left w:val="none" w:sz="0" w:space="0" w:color="auto"/>
        <w:bottom w:val="none" w:sz="0" w:space="0" w:color="auto"/>
        <w:right w:val="none" w:sz="0" w:space="0" w:color="auto"/>
      </w:divBdr>
    </w:div>
    <w:div w:id="1014764501">
      <w:bodyDiv w:val="1"/>
      <w:marLeft w:val="0"/>
      <w:marRight w:val="0"/>
      <w:marTop w:val="0"/>
      <w:marBottom w:val="0"/>
      <w:divBdr>
        <w:top w:val="none" w:sz="0" w:space="0" w:color="auto"/>
        <w:left w:val="none" w:sz="0" w:space="0" w:color="auto"/>
        <w:bottom w:val="none" w:sz="0" w:space="0" w:color="auto"/>
        <w:right w:val="none" w:sz="0" w:space="0" w:color="auto"/>
      </w:divBdr>
    </w:div>
    <w:div w:id="1061908693">
      <w:bodyDiv w:val="1"/>
      <w:marLeft w:val="0"/>
      <w:marRight w:val="0"/>
      <w:marTop w:val="0"/>
      <w:marBottom w:val="0"/>
      <w:divBdr>
        <w:top w:val="none" w:sz="0" w:space="0" w:color="auto"/>
        <w:left w:val="none" w:sz="0" w:space="0" w:color="auto"/>
        <w:bottom w:val="none" w:sz="0" w:space="0" w:color="auto"/>
        <w:right w:val="none" w:sz="0" w:space="0" w:color="auto"/>
      </w:divBdr>
    </w:div>
    <w:div w:id="1313636309">
      <w:bodyDiv w:val="1"/>
      <w:marLeft w:val="0"/>
      <w:marRight w:val="0"/>
      <w:marTop w:val="0"/>
      <w:marBottom w:val="0"/>
      <w:divBdr>
        <w:top w:val="none" w:sz="0" w:space="0" w:color="auto"/>
        <w:left w:val="none" w:sz="0" w:space="0" w:color="auto"/>
        <w:bottom w:val="none" w:sz="0" w:space="0" w:color="auto"/>
        <w:right w:val="none" w:sz="0" w:space="0" w:color="auto"/>
      </w:divBdr>
    </w:div>
    <w:div w:id="1403062716">
      <w:bodyDiv w:val="1"/>
      <w:marLeft w:val="0"/>
      <w:marRight w:val="0"/>
      <w:marTop w:val="0"/>
      <w:marBottom w:val="0"/>
      <w:divBdr>
        <w:top w:val="none" w:sz="0" w:space="0" w:color="auto"/>
        <w:left w:val="none" w:sz="0" w:space="0" w:color="auto"/>
        <w:bottom w:val="none" w:sz="0" w:space="0" w:color="auto"/>
        <w:right w:val="none" w:sz="0" w:space="0" w:color="auto"/>
      </w:divBdr>
    </w:div>
    <w:div w:id="17210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bitat@lamayenne.fr"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bitat@lamayenne.fr"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B21C07B65A5459B04F8BF68196B69" ma:contentTypeVersion="7" ma:contentTypeDescription="Crée un document." ma:contentTypeScope="" ma:versionID="5bf7665fa0d677c9f163a892bb4d8b7e">
  <xsd:schema xmlns:xsd="http://www.w3.org/2001/XMLSchema" xmlns:xs="http://www.w3.org/2001/XMLSchema" xmlns:p="http://schemas.microsoft.com/office/2006/metadata/properties" xmlns:ns2="3f1b2781-0e8b-4898-b563-aef09180267b" xmlns:ns3="3e1b8dc9-a029-4ce3-9ac2-105d18b158d1" targetNamespace="http://schemas.microsoft.com/office/2006/metadata/properties" ma:root="true" ma:fieldsID="d47658a2c176e8f9f0e83b638c7699a8" ns2:_="" ns3:_="">
    <xsd:import namespace="3f1b2781-0e8b-4898-b563-aef09180267b"/>
    <xsd:import namespace="3e1b8dc9-a029-4ce3-9ac2-105d18b158d1"/>
    <xsd:element name="properties">
      <xsd:complexType>
        <xsd:sequence>
          <xsd:element name="documentManagement">
            <xsd:complexType>
              <xsd:all>
                <xsd:element ref="ns2:lcf76f155ced4ddcb4097134ff3c332f" minOccurs="0"/>
                <xsd:element ref="ns3:TaxCatchAll" minOccurs="0"/>
                <xsd:element ref="ns2:MediaServiceOCR"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b2781-0e8b-4898-b563-aef09180267b"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Balises d’images" ma:readOnly="false" ma:fieldId="{5cf76f15-5ced-4ddc-b409-7134ff3c332f}" ma:taxonomyMulti="true" ma:sspId="f03ca28e-72a4-4cec-a9c5-42449091c76f" ma:termSetId="00000000-0000-0000-0000-000000000000"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1b8dc9-a029-4ce3-9ac2-105d18b158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7f53a36-76eb-4d67-97d0-9f9430923512}" ma:internalName="TaxCatchAll" ma:showField="CatchAllData" ma:web="3e1b8dc9-a029-4ce3-9ac2-105d18b1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1b2781-0e8b-4898-b563-aef09180267b">
      <Terms xmlns="http://schemas.microsoft.com/office/infopath/2007/PartnerControls"/>
    </lcf76f155ced4ddcb4097134ff3c332f>
    <TaxCatchAll xmlns="3e1b8dc9-a029-4ce3-9ac2-105d18b158d1" xsi:nil="true"/>
  </documentManagement>
</p:properties>
</file>

<file path=customXml/itemProps1.xml><?xml version="1.0" encoding="utf-8"?>
<ds:datastoreItem xmlns:ds="http://schemas.openxmlformats.org/officeDocument/2006/customXml" ds:itemID="{EDD2DA29-7AAA-4C3B-9B60-9D29CCB1F11A}"/>
</file>

<file path=customXml/itemProps2.xml><?xml version="1.0" encoding="utf-8"?>
<ds:datastoreItem xmlns:ds="http://schemas.openxmlformats.org/officeDocument/2006/customXml" ds:itemID="{0DDAA60C-3110-4429-A3E4-D63203E3E952}"/>
</file>

<file path=customXml/itemProps3.xml><?xml version="1.0" encoding="utf-8"?>
<ds:datastoreItem xmlns:ds="http://schemas.openxmlformats.org/officeDocument/2006/customXml" ds:itemID="{A6EEC55F-90F0-48E6-9F36-EE1CD2CC1E8A}"/>
</file>

<file path=docProps/app.xml><?xml version="1.0" encoding="utf-8"?>
<Properties xmlns="http://schemas.openxmlformats.org/officeDocument/2006/extended-properties" xmlns:vt="http://schemas.openxmlformats.org/officeDocument/2006/docPropsVTypes">
  <Template>Normal.dotm</Template>
  <TotalTime>600</TotalTime>
  <Pages>2</Pages>
  <Words>908</Words>
  <Characters>4998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Mayenne</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BAZUREAU Nadia</dc:creator>
  <cp:keywords/>
  <dc:description/>
  <cp:lastModifiedBy>BAZUREAU Nadia</cp:lastModifiedBy>
  <cp:revision>25</cp:revision>
  <cp:lastPrinted>2022-05-18T07:18:00Z</cp:lastPrinted>
  <dcterms:created xsi:type="dcterms:W3CDTF">2021-12-09T07:34:00Z</dcterms:created>
  <dcterms:modified xsi:type="dcterms:W3CDTF">2024-11-04T13:48:00Z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0x0101007FAB21C07B65A5459B04F8BF68196B69</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